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786F2" w14:textId="6593CC1E" w:rsidR="00236E4F" w:rsidRPr="00A44C15" w:rsidRDefault="00236E4F" w:rsidP="00F0115A">
      <w:pPr>
        <w:spacing w:after="6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bookmarkStart w:id="0" w:name="_GoBack"/>
      <w:bookmarkEnd w:id="0"/>
      <w:r w:rsidRPr="00A44C15">
        <w:rPr>
          <w:rFonts w:ascii="Times New Roman" w:hAnsi="Times New Roman" w:cs="Times New Roman"/>
          <w:b/>
          <w:noProof/>
          <w:color w:val="000000" w:themeColor="text1"/>
          <w:sz w:val="22"/>
          <w:szCs w:val="22"/>
          <w:lang w:eastAsia="zh-CN"/>
        </w:rPr>
        <w:drawing>
          <wp:anchor distT="0" distB="0" distL="114300" distR="114300" simplePos="0" relativeHeight="251659264" behindDoc="0" locked="0" layoutInCell="1" allowOverlap="1" wp14:anchorId="14B181BB" wp14:editId="78CAAB9C">
            <wp:simplePos x="0" y="0"/>
            <wp:positionH relativeFrom="column">
              <wp:posOffset>-259080</wp:posOffset>
            </wp:positionH>
            <wp:positionV relativeFrom="paragraph">
              <wp:posOffset>-45720</wp:posOffset>
            </wp:positionV>
            <wp:extent cx="916305" cy="9163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9A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Dire</w:t>
      </w:r>
      <w:r w:rsidRPr="00A44C1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ctorate for Geosciences</w:t>
      </w:r>
    </w:p>
    <w:p w14:paraId="4440D498" w14:textId="2F14BB82" w:rsidR="00236E4F" w:rsidRPr="00A44C15" w:rsidRDefault="00236E4F" w:rsidP="00F0115A">
      <w:pPr>
        <w:spacing w:after="6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44C1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</w:t>
      </w:r>
      <w:r w:rsidR="00164B2F" w:rsidRPr="00A44C1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</w:t>
      </w:r>
      <w:r w:rsidRPr="00A44C1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Division of Polar Programs</w:t>
      </w:r>
    </w:p>
    <w:p w14:paraId="0628AD87" w14:textId="77777777" w:rsidR="00236E4F" w:rsidRPr="00A44C15" w:rsidRDefault="00236E4F" w:rsidP="00F0115A">
      <w:pPr>
        <w:spacing w:after="6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44C1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Directorate for Mathematical &amp; Physical Sciences</w:t>
      </w:r>
    </w:p>
    <w:p w14:paraId="6195D381" w14:textId="5F3DEAAF" w:rsidR="00236E4F" w:rsidRPr="00A44C15" w:rsidRDefault="00236E4F" w:rsidP="00F0115A">
      <w:pPr>
        <w:spacing w:after="6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44C1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</w:t>
      </w:r>
      <w:r w:rsidR="00164B2F" w:rsidRPr="00A44C1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</w:t>
      </w:r>
      <w:r w:rsidRPr="00A44C1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Division of Physics</w:t>
      </w:r>
    </w:p>
    <w:p w14:paraId="4BDFF64C" w14:textId="77777777" w:rsidR="00236E4F" w:rsidRPr="00A44C15" w:rsidRDefault="00236E4F" w:rsidP="00236E4F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66915BE1" w14:textId="1D739ADB" w:rsidR="007D1EBF" w:rsidRPr="007D1EBF" w:rsidRDefault="007D1EBF" w:rsidP="00494088">
      <w:pPr>
        <w:spacing w:after="60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D1EB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November </w:t>
      </w:r>
      <w:r w:rsidR="007332BA">
        <w:rPr>
          <w:rFonts w:ascii="Times New Roman" w:hAnsi="Times New Roman" w:cs="Times New Roman"/>
          <w:color w:val="000000" w:themeColor="text1"/>
          <w:sz w:val="22"/>
          <w:szCs w:val="22"/>
        </w:rPr>
        <w:t>7</w:t>
      </w:r>
      <w:r w:rsidRPr="007D1EBF">
        <w:rPr>
          <w:rFonts w:ascii="Times New Roman" w:hAnsi="Times New Roman" w:cs="Times New Roman"/>
          <w:color w:val="000000" w:themeColor="text1"/>
          <w:sz w:val="22"/>
          <w:szCs w:val="22"/>
        </w:rPr>
        <w:t>, 2018</w:t>
      </w:r>
    </w:p>
    <w:p w14:paraId="226F3E55" w14:textId="77777777" w:rsidR="00DD41A2" w:rsidRDefault="00DD41A2" w:rsidP="00F0115A">
      <w:pPr>
        <w:spacing w:after="60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1860975C" w14:textId="50A69A03" w:rsidR="00236E4F" w:rsidRPr="00A44C15" w:rsidRDefault="00236E4F" w:rsidP="00F0115A">
      <w:pPr>
        <w:spacing w:after="60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44C1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Panel Charge</w:t>
      </w:r>
    </w:p>
    <w:p w14:paraId="004B29A5" w14:textId="7611C969" w:rsidR="00236E4F" w:rsidRPr="00A44C15" w:rsidRDefault="00236E4F" w:rsidP="00F0115A">
      <w:pPr>
        <w:spacing w:after="60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44C1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IceCube Neutrino Observatory</w:t>
      </w:r>
    </w:p>
    <w:p w14:paraId="5E895051" w14:textId="4E91FA03" w:rsidR="00236E4F" w:rsidRPr="00A44C15" w:rsidRDefault="00236E4F" w:rsidP="00F0115A">
      <w:pPr>
        <w:spacing w:after="60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44C1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Maintenance &amp; Operation</w:t>
      </w:r>
      <w:r w:rsidR="00E91D9B" w:rsidRPr="00A44C1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(M&amp;O)</w:t>
      </w:r>
    </w:p>
    <w:p w14:paraId="54DB282A" w14:textId="0F721291" w:rsidR="00236E4F" w:rsidRPr="00A44C15" w:rsidRDefault="00164B2F" w:rsidP="00F0115A">
      <w:pPr>
        <w:spacing w:after="60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44C1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Mid-</w:t>
      </w:r>
      <w:r w:rsidR="00F414E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T</w:t>
      </w:r>
      <w:r w:rsidRPr="00A44C1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erm </w:t>
      </w:r>
      <w:r w:rsidR="00236E4F" w:rsidRPr="00A44C1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Panel </w:t>
      </w:r>
      <w:r w:rsidR="000B3481" w:rsidRPr="00A44C1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Review</w:t>
      </w:r>
    </w:p>
    <w:p w14:paraId="76A0BB55" w14:textId="5328CDEC" w:rsidR="00236E4F" w:rsidRPr="00A44C15" w:rsidRDefault="00236E4F" w:rsidP="00F0115A">
      <w:pPr>
        <w:spacing w:after="6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44C1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January </w:t>
      </w:r>
      <w:r w:rsidR="00164B2F" w:rsidRPr="00A44C1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8</w:t>
      </w:r>
      <w:r w:rsidRPr="00A44C1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-</w:t>
      </w:r>
      <w:r w:rsidR="00164B2F" w:rsidRPr="00A44C1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9</w:t>
      </w:r>
      <w:r w:rsidRPr="00A44C1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, 201</w:t>
      </w:r>
      <w:r w:rsidR="00164B2F" w:rsidRPr="00A44C1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9</w:t>
      </w:r>
    </w:p>
    <w:p w14:paraId="58F2F049" w14:textId="77777777" w:rsidR="006C6DD5" w:rsidRPr="00A44C15" w:rsidRDefault="006C6DD5" w:rsidP="00E8145B">
      <w:pPr>
        <w:pStyle w:val="Default"/>
        <w:jc w:val="both"/>
        <w:rPr>
          <w:b/>
          <w:bCs/>
          <w:sz w:val="22"/>
          <w:szCs w:val="22"/>
        </w:rPr>
      </w:pPr>
    </w:p>
    <w:p w14:paraId="28015C9E" w14:textId="77777777" w:rsidR="00DD41A2" w:rsidRDefault="00DD41A2" w:rsidP="00F414E2">
      <w:pPr>
        <w:pStyle w:val="Default"/>
        <w:jc w:val="both"/>
        <w:rPr>
          <w:b/>
          <w:bCs/>
          <w:sz w:val="22"/>
          <w:szCs w:val="22"/>
        </w:rPr>
      </w:pPr>
    </w:p>
    <w:p w14:paraId="304DBE8F" w14:textId="5B89B927" w:rsidR="00F414E2" w:rsidRDefault="00F414E2" w:rsidP="00101176">
      <w:pPr>
        <w:pStyle w:val="Default"/>
        <w:jc w:val="both"/>
        <w:rPr>
          <w:b/>
          <w:bCs/>
          <w:sz w:val="22"/>
          <w:szCs w:val="22"/>
        </w:rPr>
      </w:pPr>
      <w:r w:rsidRPr="00494088">
        <w:rPr>
          <w:b/>
          <w:bCs/>
          <w:sz w:val="22"/>
          <w:szCs w:val="22"/>
        </w:rPr>
        <w:t>TO:         Panel Members</w:t>
      </w:r>
    </w:p>
    <w:p w14:paraId="3F7DCDA7" w14:textId="77777777" w:rsidR="00DD41A2" w:rsidRPr="00494088" w:rsidRDefault="00DD41A2" w:rsidP="00DD41A2">
      <w:pPr>
        <w:pStyle w:val="Default"/>
        <w:spacing w:after="120"/>
        <w:jc w:val="both"/>
        <w:rPr>
          <w:b/>
          <w:bCs/>
          <w:sz w:val="22"/>
          <w:szCs w:val="22"/>
        </w:rPr>
      </w:pPr>
    </w:p>
    <w:p w14:paraId="4CC2F352" w14:textId="19C7E30E" w:rsidR="00236E4F" w:rsidRPr="00A44C15" w:rsidRDefault="00E91D9B" w:rsidP="00493D17">
      <w:pPr>
        <w:autoSpaceDE w:val="0"/>
        <w:autoSpaceDN w:val="0"/>
        <w:adjustRightInd w:val="0"/>
        <w:spacing w:after="120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44C15">
        <w:rPr>
          <w:rFonts w:ascii="Times New Roman" w:hAnsi="Times New Roman" w:cs="Times New Roman"/>
          <w:color w:val="000000"/>
          <w:sz w:val="22"/>
          <w:szCs w:val="22"/>
        </w:rPr>
        <w:t xml:space="preserve">The </w:t>
      </w:r>
      <w:r w:rsidRPr="00A44C15">
        <w:rPr>
          <w:rFonts w:ascii="Times New Roman" w:hAnsi="Times New Roman" w:cs="Times New Roman"/>
          <w:color w:val="000000" w:themeColor="text1"/>
          <w:sz w:val="22"/>
          <w:szCs w:val="22"/>
        </w:rPr>
        <w:t>IceCube Neutrino Observatory</w:t>
      </w:r>
      <w:r w:rsidRPr="00A44C15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236E4F" w:rsidRPr="00A44C15">
        <w:rPr>
          <w:rFonts w:ascii="Times New Roman" w:hAnsi="Times New Roman" w:cs="Times New Roman"/>
          <w:color w:val="000000"/>
          <w:sz w:val="22"/>
          <w:szCs w:val="22"/>
        </w:rPr>
        <w:t>ICNO</w:t>
      </w:r>
      <w:r w:rsidRPr="00A44C15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="00236E4F" w:rsidRPr="00A44C15">
        <w:rPr>
          <w:rFonts w:ascii="Times New Roman" w:hAnsi="Times New Roman" w:cs="Times New Roman"/>
          <w:color w:val="000000"/>
          <w:sz w:val="22"/>
          <w:szCs w:val="22"/>
        </w:rPr>
        <w:t xml:space="preserve"> is a major scientific facility sponsored by the NSF and </w:t>
      </w:r>
      <w:r w:rsidR="00CB3C5D" w:rsidRPr="00A44C15">
        <w:rPr>
          <w:rFonts w:ascii="Times New Roman" w:hAnsi="Times New Roman" w:cs="Times New Roman"/>
          <w:color w:val="000000"/>
          <w:sz w:val="22"/>
          <w:szCs w:val="22"/>
        </w:rPr>
        <w:t xml:space="preserve">operated by </w:t>
      </w:r>
      <w:r w:rsidR="00164B2F" w:rsidRPr="00A44C15">
        <w:rPr>
          <w:rFonts w:ascii="Times New Roman" w:hAnsi="Times New Roman" w:cs="Times New Roman"/>
          <w:color w:val="000000"/>
          <w:sz w:val="22"/>
          <w:szCs w:val="22"/>
        </w:rPr>
        <w:t>the University of Wisconsin in Madison</w:t>
      </w:r>
      <w:r w:rsidR="00CB3C5D" w:rsidRPr="00A44C15">
        <w:rPr>
          <w:rFonts w:ascii="Times New Roman" w:hAnsi="Times New Roman" w:cs="Times New Roman"/>
          <w:color w:val="000000"/>
          <w:sz w:val="22"/>
          <w:szCs w:val="22"/>
        </w:rPr>
        <w:t xml:space="preserve"> under a C</w:t>
      </w:r>
      <w:r w:rsidR="00236E4F" w:rsidRPr="00A44C15">
        <w:rPr>
          <w:rFonts w:ascii="Times New Roman" w:hAnsi="Times New Roman" w:cs="Times New Roman"/>
          <w:color w:val="000000"/>
          <w:sz w:val="22"/>
          <w:szCs w:val="22"/>
        </w:rPr>
        <w:t xml:space="preserve">ooperative </w:t>
      </w:r>
      <w:r w:rsidR="00CB3C5D" w:rsidRPr="00A44C15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236E4F" w:rsidRPr="00A44C15">
        <w:rPr>
          <w:rFonts w:ascii="Times New Roman" w:hAnsi="Times New Roman" w:cs="Times New Roman"/>
          <w:color w:val="000000"/>
          <w:sz w:val="22"/>
          <w:szCs w:val="22"/>
        </w:rPr>
        <w:t xml:space="preserve">greement with NSF. </w:t>
      </w:r>
      <w:r w:rsidR="00164B2F" w:rsidRPr="00A44C15">
        <w:rPr>
          <w:rFonts w:ascii="Times New Roman" w:hAnsi="Times New Roman" w:cs="Times New Roman"/>
          <w:color w:val="000000"/>
          <w:sz w:val="22"/>
          <w:szCs w:val="22"/>
        </w:rPr>
        <w:t xml:space="preserve">The current award for the maintenance and operation </w:t>
      </w:r>
      <w:r w:rsidR="00C5140A">
        <w:rPr>
          <w:rFonts w:ascii="Times New Roman" w:hAnsi="Times New Roman" w:cs="Times New Roman"/>
          <w:color w:val="000000"/>
          <w:sz w:val="22"/>
          <w:szCs w:val="22"/>
        </w:rPr>
        <w:t xml:space="preserve">(M&amp;O) </w:t>
      </w:r>
      <w:r w:rsidR="00164B2F" w:rsidRPr="00A44C15">
        <w:rPr>
          <w:rFonts w:ascii="Times New Roman" w:hAnsi="Times New Roman" w:cs="Times New Roman"/>
          <w:color w:val="000000"/>
          <w:sz w:val="22"/>
          <w:szCs w:val="22"/>
        </w:rPr>
        <w:t>of this facility is OPP-160</w:t>
      </w:r>
      <w:r w:rsidR="00493D17" w:rsidRPr="00A44C15">
        <w:rPr>
          <w:rFonts w:ascii="Times New Roman" w:hAnsi="Times New Roman" w:cs="Times New Roman"/>
          <w:color w:val="000000"/>
          <w:sz w:val="22"/>
          <w:szCs w:val="22"/>
        </w:rPr>
        <w:t>0</w:t>
      </w:r>
      <w:r w:rsidR="00164B2F" w:rsidRPr="00A44C15">
        <w:rPr>
          <w:rFonts w:ascii="Times New Roman" w:hAnsi="Times New Roman" w:cs="Times New Roman"/>
          <w:color w:val="000000"/>
          <w:sz w:val="22"/>
          <w:szCs w:val="22"/>
        </w:rPr>
        <w:t xml:space="preserve">823. </w:t>
      </w:r>
      <w:r w:rsidR="00050EF8" w:rsidRPr="00A44C15">
        <w:rPr>
          <w:rFonts w:ascii="Times New Roman" w:hAnsi="Times New Roman" w:cs="Times New Roman"/>
          <w:color w:val="000000"/>
          <w:sz w:val="22"/>
          <w:szCs w:val="22"/>
        </w:rPr>
        <w:t>Th</w:t>
      </w:r>
      <w:r w:rsidR="00164B2F" w:rsidRPr="00A44C15">
        <w:rPr>
          <w:rFonts w:ascii="Times New Roman" w:hAnsi="Times New Roman" w:cs="Times New Roman"/>
          <w:color w:val="000000"/>
          <w:sz w:val="22"/>
          <w:szCs w:val="22"/>
        </w:rPr>
        <w:t>e ICNO</w:t>
      </w:r>
      <w:r w:rsidR="00236E4F" w:rsidRPr="00A44C15">
        <w:rPr>
          <w:rFonts w:ascii="Times New Roman" w:hAnsi="Times New Roman" w:cs="Times New Roman"/>
          <w:color w:val="000000"/>
          <w:sz w:val="22"/>
          <w:szCs w:val="22"/>
        </w:rPr>
        <w:t xml:space="preserve"> enables research in ground-based neutrino astrophysics by the U.S. and international </w:t>
      </w:r>
      <w:r w:rsidR="00164B2F" w:rsidRPr="00A44C15">
        <w:rPr>
          <w:rFonts w:ascii="Times New Roman" w:hAnsi="Times New Roman" w:cs="Times New Roman"/>
          <w:color w:val="000000"/>
          <w:sz w:val="22"/>
          <w:szCs w:val="22"/>
        </w:rPr>
        <w:t xml:space="preserve">scientific </w:t>
      </w:r>
      <w:r w:rsidR="00236E4F" w:rsidRPr="00A44C15">
        <w:rPr>
          <w:rFonts w:ascii="Times New Roman" w:hAnsi="Times New Roman" w:cs="Times New Roman"/>
          <w:color w:val="000000"/>
          <w:sz w:val="22"/>
          <w:szCs w:val="22"/>
        </w:rPr>
        <w:t xml:space="preserve">communities. </w:t>
      </w:r>
    </w:p>
    <w:p w14:paraId="540FB90D" w14:textId="1A5BE1AB" w:rsidR="00236E4F" w:rsidRPr="00A44C15" w:rsidRDefault="00236E4F" w:rsidP="00493D17">
      <w:pPr>
        <w:autoSpaceDE w:val="0"/>
        <w:autoSpaceDN w:val="0"/>
        <w:adjustRightInd w:val="0"/>
        <w:spacing w:after="120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44C15">
        <w:rPr>
          <w:rFonts w:ascii="Times New Roman" w:hAnsi="Times New Roman" w:cs="Times New Roman"/>
          <w:color w:val="000000"/>
          <w:sz w:val="22"/>
          <w:szCs w:val="22"/>
        </w:rPr>
        <w:t>The IceCube Collaboration is an international collaboration of scientists (currently involving 4</w:t>
      </w:r>
      <w:r w:rsidR="00164B2F" w:rsidRPr="00A44C15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Pr="00A44C15">
        <w:rPr>
          <w:rFonts w:ascii="Times New Roman" w:hAnsi="Times New Roman" w:cs="Times New Roman"/>
          <w:color w:val="000000"/>
          <w:sz w:val="22"/>
          <w:szCs w:val="22"/>
        </w:rPr>
        <w:t xml:space="preserve"> institutions from </w:t>
      </w:r>
      <w:r w:rsidR="000B3481" w:rsidRPr="00A44C15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164B2F" w:rsidRPr="00A44C15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0B3481" w:rsidRPr="00A44C15">
        <w:rPr>
          <w:rFonts w:ascii="Times New Roman" w:hAnsi="Times New Roman" w:cs="Times New Roman"/>
          <w:color w:val="000000"/>
          <w:sz w:val="22"/>
          <w:szCs w:val="22"/>
        </w:rPr>
        <w:t xml:space="preserve"> countries</w:t>
      </w:r>
      <w:r w:rsidR="00490A1D" w:rsidRPr="00A44C15">
        <w:rPr>
          <w:rFonts w:ascii="Times New Roman" w:hAnsi="Times New Roman" w:cs="Times New Roman"/>
          <w:color w:val="000000"/>
          <w:sz w:val="22"/>
          <w:szCs w:val="22"/>
        </w:rPr>
        <w:t>) who conduct scientific analyse</w:t>
      </w:r>
      <w:r w:rsidRPr="00A44C15">
        <w:rPr>
          <w:rFonts w:ascii="Times New Roman" w:hAnsi="Times New Roman" w:cs="Times New Roman"/>
          <w:color w:val="000000"/>
          <w:sz w:val="22"/>
          <w:szCs w:val="22"/>
        </w:rPr>
        <w:t xml:space="preserve">s of data collected by ICNO. In addition </w:t>
      </w:r>
      <w:r w:rsidR="00490A1D" w:rsidRPr="00A44C15">
        <w:rPr>
          <w:rFonts w:ascii="Times New Roman" w:hAnsi="Times New Roman" w:cs="Times New Roman"/>
          <w:color w:val="000000"/>
          <w:sz w:val="22"/>
          <w:szCs w:val="22"/>
        </w:rPr>
        <w:t>to conducting scientific analyse</w:t>
      </w:r>
      <w:r w:rsidRPr="00A44C15">
        <w:rPr>
          <w:rFonts w:ascii="Times New Roman" w:hAnsi="Times New Roman" w:cs="Times New Roman"/>
          <w:color w:val="000000"/>
          <w:sz w:val="22"/>
          <w:szCs w:val="22"/>
        </w:rPr>
        <w:t>s of ICNO data, members of the Collaboration contribute to the overall enterprise by performing service work needed to operate the Observatory or prepar</w:t>
      </w:r>
      <w:r w:rsidR="000B1D7E">
        <w:rPr>
          <w:rFonts w:ascii="Times New Roman" w:hAnsi="Times New Roman" w:cs="Times New Roman"/>
          <w:color w:val="000000"/>
          <w:sz w:val="22"/>
          <w:szCs w:val="22"/>
        </w:rPr>
        <w:t>ing</w:t>
      </w:r>
      <w:r w:rsidRPr="00A44C15">
        <w:rPr>
          <w:rFonts w:ascii="Times New Roman" w:hAnsi="Times New Roman" w:cs="Times New Roman"/>
          <w:color w:val="000000"/>
          <w:sz w:val="22"/>
          <w:szCs w:val="22"/>
        </w:rPr>
        <w:t xml:space="preserve"> data for scientific analysis. Some collaborating institutions provide computing and database infrastructure and services to facilitate the work of the Collaboration. This approach creates a mechanism for collaborating scientists and institutions to </w:t>
      </w:r>
      <w:r w:rsidR="000B3481" w:rsidRPr="00A44C15">
        <w:rPr>
          <w:rFonts w:ascii="Times New Roman" w:hAnsi="Times New Roman" w:cs="Times New Roman"/>
          <w:color w:val="000000"/>
          <w:sz w:val="22"/>
          <w:szCs w:val="22"/>
        </w:rPr>
        <w:t>support</w:t>
      </w:r>
      <w:r w:rsidRPr="00A44C15">
        <w:rPr>
          <w:rFonts w:ascii="Times New Roman" w:hAnsi="Times New Roman" w:cs="Times New Roman"/>
          <w:color w:val="000000"/>
          <w:sz w:val="22"/>
          <w:szCs w:val="22"/>
        </w:rPr>
        <w:t xml:space="preserve"> the work needed to make ICNO data useful scientifically, as well as to provide students and postdocs re</w:t>
      </w:r>
      <w:r w:rsidR="000F49A6">
        <w:rPr>
          <w:rFonts w:ascii="Times New Roman" w:hAnsi="Times New Roman" w:cs="Times New Roman"/>
          <w:color w:val="000000"/>
          <w:sz w:val="22"/>
          <w:szCs w:val="22"/>
        </w:rPr>
        <w:t>alistic experience in operation</w:t>
      </w:r>
      <w:r w:rsidRPr="00A44C15">
        <w:rPr>
          <w:rFonts w:ascii="Times New Roman" w:hAnsi="Times New Roman" w:cs="Times New Roman"/>
          <w:color w:val="000000"/>
          <w:sz w:val="22"/>
          <w:szCs w:val="22"/>
        </w:rPr>
        <w:t xml:space="preserve"> of a major astrophysic</w:t>
      </w:r>
      <w:r w:rsidR="00050EF8" w:rsidRPr="00A44C15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A44C15">
        <w:rPr>
          <w:rFonts w:ascii="Times New Roman" w:hAnsi="Times New Roman" w:cs="Times New Roman"/>
          <w:color w:val="000000"/>
          <w:sz w:val="22"/>
          <w:szCs w:val="22"/>
        </w:rPr>
        <w:t xml:space="preserve"> facility.</w:t>
      </w:r>
    </w:p>
    <w:p w14:paraId="5F77D639" w14:textId="06E335D6" w:rsidR="00493D17" w:rsidRPr="00A44C15" w:rsidRDefault="00236E4F" w:rsidP="00DD41A2">
      <w:pPr>
        <w:pStyle w:val="Default"/>
        <w:ind w:firstLine="360"/>
        <w:jc w:val="both"/>
        <w:rPr>
          <w:color w:val="auto"/>
          <w:sz w:val="22"/>
          <w:szCs w:val="22"/>
        </w:rPr>
      </w:pPr>
      <w:r w:rsidRPr="00A44C15">
        <w:rPr>
          <w:sz w:val="22"/>
          <w:szCs w:val="22"/>
        </w:rPr>
        <w:t>Th</w:t>
      </w:r>
      <w:r w:rsidR="00E91D9B" w:rsidRPr="00A44C15">
        <w:rPr>
          <w:sz w:val="22"/>
          <w:szCs w:val="22"/>
        </w:rPr>
        <w:t xml:space="preserve">is </w:t>
      </w:r>
      <w:r w:rsidR="00164B2F" w:rsidRPr="00A44C15">
        <w:rPr>
          <w:sz w:val="22"/>
          <w:szCs w:val="22"/>
        </w:rPr>
        <w:t xml:space="preserve">mid-term </w:t>
      </w:r>
      <w:r w:rsidR="00493D17" w:rsidRPr="00A44C15">
        <w:rPr>
          <w:sz w:val="22"/>
          <w:szCs w:val="22"/>
        </w:rPr>
        <w:t xml:space="preserve">external </w:t>
      </w:r>
      <w:r w:rsidRPr="00A44C15">
        <w:rPr>
          <w:sz w:val="22"/>
          <w:szCs w:val="22"/>
        </w:rPr>
        <w:t xml:space="preserve">review </w:t>
      </w:r>
      <w:r w:rsidR="00E91D9B" w:rsidRPr="00A44C15">
        <w:rPr>
          <w:sz w:val="22"/>
          <w:szCs w:val="22"/>
        </w:rPr>
        <w:t xml:space="preserve">of </w:t>
      </w:r>
      <w:r w:rsidR="00050EF8" w:rsidRPr="00A44C15">
        <w:rPr>
          <w:sz w:val="22"/>
          <w:szCs w:val="22"/>
        </w:rPr>
        <w:t xml:space="preserve">the </w:t>
      </w:r>
      <w:r w:rsidR="00E91D9B" w:rsidRPr="00A44C15">
        <w:rPr>
          <w:sz w:val="22"/>
          <w:szCs w:val="22"/>
        </w:rPr>
        <w:t>ICNO</w:t>
      </w:r>
      <w:r w:rsidR="0075662F" w:rsidRPr="00A44C15">
        <w:rPr>
          <w:sz w:val="22"/>
          <w:szCs w:val="22"/>
        </w:rPr>
        <w:t xml:space="preserve"> </w:t>
      </w:r>
      <w:r w:rsidR="000B3481" w:rsidRPr="00A44C15">
        <w:rPr>
          <w:sz w:val="22"/>
          <w:szCs w:val="22"/>
        </w:rPr>
        <w:t>Maintenance</w:t>
      </w:r>
      <w:r w:rsidR="0075662F" w:rsidRPr="00A44C15">
        <w:rPr>
          <w:sz w:val="22"/>
          <w:szCs w:val="22"/>
        </w:rPr>
        <w:t xml:space="preserve"> and </w:t>
      </w:r>
      <w:r w:rsidR="000B3481" w:rsidRPr="00A44C15">
        <w:rPr>
          <w:sz w:val="22"/>
          <w:szCs w:val="22"/>
        </w:rPr>
        <w:t>Operation</w:t>
      </w:r>
      <w:r w:rsidR="0075662F" w:rsidRPr="00A44C15">
        <w:rPr>
          <w:sz w:val="22"/>
          <w:szCs w:val="22"/>
        </w:rPr>
        <w:t xml:space="preserve"> (</w:t>
      </w:r>
      <w:r w:rsidR="00E91D9B" w:rsidRPr="00A44C15">
        <w:rPr>
          <w:sz w:val="22"/>
          <w:szCs w:val="22"/>
        </w:rPr>
        <w:t>M&amp;O</w:t>
      </w:r>
      <w:r w:rsidR="0075662F" w:rsidRPr="00A44C15">
        <w:rPr>
          <w:sz w:val="22"/>
          <w:szCs w:val="22"/>
        </w:rPr>
        <w:t>)</w:t>
      </w:r>
      <w:r w:rsidR="00E91D9B" w:rsidRPr="00A44C15">
        <w:rPr>
          <w:sz w:val="22"/>
          <w:szCs w:val="22"/>
        </w:rPr>
        <w:t xml:space="preserve"> </w:t>
      </w:r>
      <w:r w:rsidR="00CB3C5D" w:rsidRPr="00A44C15">
        <w:rPr>
          <w:sz w:val="22"/>
          <w:szCs w:val="22"/>
        </w:rPr>
        <w:t xml:space="preserve">award </w:t>
      </w:r>
      <w:r w:rsidRPr="00A44C15">
        <w:rPr>
          <w:sz w:val="22"/>
          <w:szCs w:val="22"/>
        </w:rPr>
        <w:t>is</w:t>
      </w:r>
      <w:r w:rsidR="00493D17" w:rsidRPr="00A44C15">
        <w:rPr>
          <w:sz w:val="22"/>
          <w:szCs w:val="22"/>
        </w:rPr>
        <w:t xml:space="preserve"> </w:t>
      </w:r>
      <w:r w:rsidR="00F414E2">
        <w:rPr>
          <w:sz w:val="22"/>
          <w:szCs w:val="22"/>
        </w:rPr>
        <w:t>recommended</w:t>
      </w:r>
      <w:r w:rsidR="00493D17" w:rsidRPr="00A44C15">
        <w:rPr>
          <w:sz w:val="22"/>
          <w:szCs w:val="22"/>
        </w:rPr>
        <w:t xml:space="preserve"> by the Cooperative Agreement to cover, a</w:t>
      </w:r>
      <w:r w:rsidR="00493D17" w:rsidRPr="00A44C15">
        <w:rPr>
          <w:color w:val="auto"/>
          <w:sz w:val="22"/>
          <w:szCs w:val="22"/>
        </w:rPr>
        <w:t xml:space="preserve">t a minimum, the </w:t>
      </w:r>
      <w:r w:rsidR="00C5140A">
        <w:rPr>
          <w:color w:val="auto"/>
          <w:sz w:val="22"/>
          <w:szCs w:val="22"/>
        </w:rPr>
        <w:t>program</w:t>
      </w:r>
      <w:r w:rsidR="00493D17" w:rsidRPr="00A44C15">
        <w:rPr>
          <w:color w:val="auto"/>
          <w:sz w:val="22"/>
          <w:szCs w:val="22"/>
        </w:rPr>
        <w:t xml:space="preserve"> management, cost and performance objectives, and scientific and technical performance after the second and fourth project years to inform the NSF's decision on potential pathways for the support of ICNO/M&amp;O activities beyond 2021. NSF expects to invite IOFG members to participate in this review</w:t>
      </w:r>
      <w:r w:rsidR="00CB3C5D" w:rsidRPr="00A44C15">
        <w:rPr>
          <w:color w:val="auto"/>
          <w:sz w:val="22"/>
          <w:szCs w:val="22"/>
        </w:rPr>
        <w:t>.</w:t>
      </w:r>
      <w:r w:rsidR="00EF7365" w:rsidRPr="00A44C15">
        <w:rPr>
          <w:color w:val="auto"/>
          <w:sz w:val="22"/>
          <w:szCs w:val="22"/>
        </w:rPr>
        <w:t xml:space="preserve"> </w:t>
      </w:r>
    </w:p>
    <w:p w14:paraId="4483BEED" w14:textId="77777777" w:rsidR="00DD41A2" w:rsidRDefault="00DD41A2" w:rsidP="00F0115A">
      <w:pPr>
        <w:pStyle w:val="Default"/>
        <w:spacing w:after="120"/>
        <w:jc w:val="both"/>
        <w:rPr>
          <w:b/>
          <w:bCs/>
          <w:sz w:val="22"/>
          <w:szCs w:val="22"/>
        </w:rPr>
      </w:pPr>
    </w:p>
    <w:p w14:paraId="2846013A" w14:textId="58475B3B" w:rsidR="00CB3C5D" w:rsidRPr="00494088" w:rsidRDefault="00CB3C5D" w:rsidP="00F0115A">
      <w:pPr>
        <w:pStyle w:val="Default"/>
        <w:spacing w:after="120"/>
        <w:jc w:val="both"/>
        <w:rPr>
          <w:b/>
          <w:bCs/>
          <w:sz w:val="22"/>
          <w:szCs w:val="22"/>
        </w:rPr>
      </w:pPr>
      <w:r w:rsidRPr="00494088">
        <w:rPr>
          <w:b/>
          <w:bCs/>
          <w:sz w:val="22"/>
          <w:szCs w:val="22"/>
        </w:rPr>
        <w:t xml:space="preserve">The Charge </w:t>
      </w:r>
    </w:p>
    <w:p w14:paraId="08320667" w14:textId="48397A0F" w:rsidR="00CE204A" w:rsidRPr="00A44C15" w:rsidRDefault="00500BE1" w:rsidP="00CE204A">
      <w:pPr>
        <w:pStyle w:val="Default"/>
        <w:spacing w:after="120"/>
        <w:ind w:firstLine="360"/>
        <w:jc w:val="both"/>
        <w:rPr>
          <w:sz w:val="22"/>
          <w:szCs w:val="22"/>
        </w:rPr>
      </w:pPr>
      <w:r w:rsidRPr="00A44C15">
        <w:rPr>
          <w:sz w:val="22"/>
          <w:szCs w:val="22"/>
        </w:rPr>
        <w:t xml:space="preserve">The </w:t>
      </w:r>
      <w:r w:rsidR="00F414E2">
        <w:rPr>
          <w:sz w:val="22"/>
          <w:szCs w:val="22"/>
        </w:rPr>
        <w:t>ICNO M</w:t>
      </w:r>
      <w:r w:rsidR="007D1EBF">
        <w:rPr>
          <w:sz w:val="22"/>
          <w:szCs w:val="22"/>
        </w:rPr>
        <w:t>id-</w:t>
      </w:r>
      <w:r w:rsidR="00F414E2">
        <w:rPr>
          <w:sz w:val="22"/>
          <w:szCs w:val="22"/>
        </w:rPr>
        <w:t>T</w:t>
      </w:r>
      <w:r w:rsidR="007D1EBF">
        <w:rPr>
          <w:sz w:val="22"/>
          <w:szCs w:val="22"/>
        </w:rPr>
        <w:t xml:space="preserve">erm </w:t>
      </w:r>
      <w:r w:rsidR="00F414E2">
        <w:rPr>
          <w:sz w:val="22"/>
          <w:szCs w:val="22"/>
        </w:rPr>
        <w:t>R</w:t>
      </w:r>
      <w:r w:rsidRPr="00A44C15">
        <w:rPr>
          <w:sz w:val="22"/>
          <w:szCs w:val="22"/>
        </w:rPr>
        <w:t xml:space="preserve">eview </w:t>
      </w:r>
      <w:r w:rsidR="00F414E2">
        <w:rPr>
          <w:sz w:val="22"/>
          <w:szCs w:val="22"/>
        </w:rPr>
        <w:t>P</w:t>
      </w:r>
      <w:r w:rsidR="007D1EBF">
        <w:rPr>
          <w:sz w:val="22"/>
          <w:szCs w:val="22"/>
        </w:rPr>
        <w:t xml:space="preserve">anel </w:t>
      </w:r>
      <w:r w:rsidRPr="00A44C15">
        <w:rPr>
          <w:sz w:val="22"/>
          <w:szCs w:val="22"/>
        </w:rPr>
        <w:t xml:space="preserve">should examine the </w:t>
      </w:r>
      <w:r w:rsidR="00210832" w:rsidRPr="00A44C15">
        <w:rPr>
          <w:sz w:val="22"/>
          <w:szCs w:val="22"/>
        </w:rPr>
        <w:t xml:space="preserve">existing </w:t>
      </w:r>
      <w:r w:rsidRPr="00A44C15">
        <w:rPr>
          <w:sz w:val="22"/>
          <w:szCs w:val="22"/>
        </w:rPr>
        <w:t xml:space="preserve">balance </w:t>
      </w:r>
      <w:r w:rsidR="00210832" w:rsidRPr="00A44C15">
        <w:rPr>
          <w:sz w:val="22"/>
          <w:szCs w:val="22"/>
        </w:rPr>
        <w:t xml:space="preserve">of </w:t>
      </w:r>
      <w:r w:rsidR="00BB2B79" w:rsidRPr="00A44C15">
        <w:rPr>
          <w:sz w:val="22"/>
          <w:szCs w:val="22"/>
        </w:rPr>
        <w:t>activities</w:t>
      </w:r>
      <w:r w:rsidR="00210832" w:rsidRPr="00A44C15">
        <w:rPr>
          <w:sz w:val="22"/>
          <w:szCs w:val="22"/>
        </w:rPr>
        <w:t xml:space="preserve"> </w:t>
      </w:r>
      <w:r w:rsidRPr="00A44C15">
        <w:rPr>
          <w:sz w:val="22"/>
          <w:szCs w:val="22"/>
        </w:rPr>
        <w:t>to support the ICNO</w:t>
      </w:r>
      <w:r w:rsidR="00F414E2">
        <w:rPr>
          <w:sz w:val="22"/>
          <w:szCs w:val="22"/>
        </w:rPr>
        <w:t xml:space="preserve"> </w:t>
      </w:r>
      <w:r w:rsidR="00BB2B79">
        <w:rPr>
          <w:sz w:val="22"/>
          <w:szCs w:val="22"/>
        </w:rPr>
        <w:t>maintenance</w:t>
      </w:r>
      <w:r w:rsidR="00F414E2">
        <w:rPr>
          <w:sz w:val="22"/>
          <w:szCs w:val="22"/>
        </w:rPr>
        <w:t xml:space="preserve"> and </w:t>
      </w:r>
      <w:r w:rsidR="00BB2B79">
        <w:rPr>
          <w:sz w:val="22"/>
          <w:szCs w:val="22"/>
        </w:rPr>
        <w:t>operation</w:t>
      </w:r>
      <w:r w:rsidR="00F414E2">
        <w:rPr>
          <w:sz w:val="22"/>
          <w:szCs w:val="22"/>
        </w:rPr>
        <w:t>.</w:t>
      </w:r>
      <w:r w:rsidRPr="00A44C15">
        <w:rPr>
          <w:sz w:val="22"/>
          <w:szCs w:val="22"/>
        </w:rPr>
        <w:t xml:space="preserve"> The primary goal of this review, and of any resulting adjustments of the M&amp;O activities, is to ensure that investments in the IceCube-</w:t>
      </w:r>
      <w:r w:rsidR="00164B2F" w:rsidRPr="00A44C15">
        <w:rPr>
          <w:sz w:val="22"/>
          <w:szCs w:val="22"/>
        </w:rPr>
        <w:t>related science</w:t>
      </w:r>
      <w:r w:rsidRPr="00A44C15">
        <w:rPr>
          <w:sz w:val="22"/>
          <w:szCs w:val="22"/>
        </w:rPr>
        <w:t xml:space="preserve"> and respective facility's support are properly aligned, both now and in the future, with</w:t>
      </w:r>
      <w:r w:rsidR="00CE204A" w:rsidRPr="00A44C15">
        <w:rPr>
          <w:sz w:val="22"/>
          <w:szCs w:val="22"/>
        </w:rPr>
        <w:t>in the project's goals and objectives and research p</w:t>
      </w:r>
      <w:r w:rsidRPr="00A44C15">
        <w:rPr>
          <w:sz w:val="22"/>
          <w:szCs w:val="22"/>
        </w:rPr>
        <w:t xml:space="preserve">riorities of the </w:t>
      </w:r>
      <w:r w:rsidR="00CE204A" w:rsidRPr="00A44C15">
        <w:rPr>
          <w:sz w:val="22"/>
          <w:szCs w:val="22"/>
        </w:rPr>
        <w:t xml:space="preserve">U.S. and </w:t>
      </w:r>
      <w:r w:rsidR="00BB2B79" w:rsidRPr="00A44C15">
        <w:rPr>
          <w:sz w:val="22"/>
          <w:szCs w:val="22"/>
        </w:rPr>
        <w:t>international</w:t>
      </w:r>
      <w:r w:rsidR="00CE204A" w:rsidRPr="00A44C15">
        <w:rPr>
          <w:sz w:val="22"/>
          <w:szCs w:val="22"/>
        </w:rPr>
        <w:t xml:space="preserve"> </w:t>
      </w:r>
      <w:r w:rsidRPr="00A44C15">
        <w:rPr>
          <w:sz w:val="22"/>
          <w:szCs w:val="22"/>
        </w:rPr>
        <w:t>particle astrophysics community.</w:t>
      </w:r>
    </w:p>
    <w:p w14:paraId="1AB4E780" w14:textId="1877ADF4" w:rsidR="00CE204A" w:rsidRPr="00A44C15" w:rsidRDefault="00EF7365" w:rsidP="00CE204A">
      <w:pPr>
        <w:pStyle w:val="Default"/>
        <w:spacing w:after="120"/>
        <w:ind w:firstLine="360"/>
        <w:jc w:val="both"/>
        <w:rPr>
          <w:sz w:val="22"/>
          <w:szCs w:val="22"/>
        </w:rPr>
      </w:pPr>
      <w:r w:rsidRPr="00A44C15">
        <w:rPr>
          <w:sz w:val="22"/>
          <w:szCs w:val="22"/>
        </w:rPr>
        <w:t xml:space="preserve">The review </w:t>
      </w:r>
      <w:r w:rsidR="00C5140A">
        <w:rPr>
          <w:sz w:val="22"/>
          <w:szCs w:val="22"/>
        </w:rPr>
        <w:t>will</w:t>
      </w:r>
      <w:r w:rsidRPr="00A44C15">
        <w:rPr>
          <w:sz w:val="22"/>
          <w:szCs w:val="22"/>
        </w:rPr>
        <w:t xml:space="preserve"> </w:t>
      </w:r>
      <w:r w:rsidR="00E333E7" w:rsidRPr="00A44C15">
        <w:rPr>
          <w:sz w:val="22"/>
          <w:szCs w:val="22"/>
        </w:rPr>
        <w:t xml:space="preserve">assess </w:t>
      </w:r>
      <w:r w:rsidR="00CE204A" w:rsidRPr="00A44C15">
        <w:rPr>
          <w:sz w:val="22"/>
          <w:szCs w:val="22"/>
        </w:rPr>
        <w:t xml:space="preserve">the </w:t>
      </w:r>
      <w:r w:rsidRPr="00A44C15">
        <w:rPr>
          <w:sz w:val="22"/>
          <w:szCs w:val="22"/>
        </w:rPr>
        <w:t xml:space="preserve">budget </w:t>
      </w:r>
      <w:r w:rsidR="00CE204A" w:rsidRPr="00A44C15">
        <w:rPr>
          <w:sz w:val="22"/>
          <w:szCs w:val="22"/>
        </w:rPr>
        <w:t xml:space="preserve">and management </w:t>
      </w:r>
      <w:r w:rsidR="00BB2B79" w:rsidRPr="00A44C15">
        <w:rPr>
          <w:sz w:val="22"/>
          <w:szCs w:val="22"/>
        </w:rPr>
        <w:t>activities</w:t>
      </w:r>
      <w:r w:rsidR="00CE204A" w:rsidRPr="00A44C15">
        <w:rPr>
          <w:sz w:val="22"/>
          <w:szCs w:val="22"/>
        </w:rPr>
        <w:t xml:space="preserve"> </w:t>
      </w:r>
      <w:r w:rsidRPr="00A44C15">
        <w:rPr>
          <w:sz w:val="22"/>
          <w:szCs w:val="22"/>
        </w:rPr>
        <w:t>encompass</w:t>
      </w:r>
      <w:r w:rsidR="00F414E2">
        <w:rPr>
          <w:sz w:val="22"/>
          <w:szCs w:val="22"/>
        </w:rPr>
        <w:t>ing</w:t>
      </w:r>
      <w:r w:rsidRPr="00A44C15">
        <w:rPr>
          <w:sz w:val="22"/>
          <w:szCs w:val="22"/>
        </w:rPr>
        <w:t xml:space="preserve"> the </w:t>
      </w:r>
      <w:r w:rsidR="00C5140A">
        <w:rPr>
          <w:sz w:val="22"/>
          <w:szCs w:val="22"/>
        </w:rPr>
        <w:t xml:space="preserve">ICNO's </w:t>
      </w:r>
      <w:r w:rsidR="000F49A6">
        <w:rPr>
          <w:sz w:val="22"/>
          <w:szCs w:val="22"/>
        </w:rPr>
        <w:t>maintenance</w:t>
      </w:r>
      <w:r w:rsidR="00C5140A">
        <w:rPr>
          <w:sz w:val="22"/>
          <w:szCs w:val="22"/>
        </w:rPr>
        <w:t xml:space="preserve"> and </w:t>
      </w:r>
      <w:r w:rsidR="00E333E7" w:rsidRPr="00A44C15">
        <w:rPr>
          <w:sz w:val="22"/>
          <w:szCs w:val="22"/>
        </w:rPr>
        <w:t xml:space="preserve">operation </w:t>
      </w:r>
      <w:r w:rsidR="00F414E2">
        <w:rPr>
          <w:sz w:val="22"/>
          <w:szCs w:val="22"/>
        </w:rPr>
        <w:t>from April</w:t>
      </w:r>
      <w:r w:rsidR="00E5141E" w:rsidRPr="00A44C15">
        <w:rPr>
          <w:sz w:val="22"/>
          <w:szCs w:val="22"/>
        </w:rPr>
        <w:t xml:space="preserve"> 201</w:t>
      </w:r>
      <w:r w:rsidR="008F3DF1" w:rsidRPr="00A44C15">
        <w:rPr>
          <w:sz w:val="22"/>
          <w:szCs w:val="22"/>
        </w:rPr>
        <w:t>6</w:t>
      </w:r>
      <w:r w:rsidR="00E5141E" w:rsidRPr="00A44C15">
        <w:rPr>
          <w:sz w:val="22"/>
          <w:szCs w:val="22"/>
        </w:rPr>
        <w:t xml:space="preserve"> </w:t>
      </w:r>
      <w:r w:rsidR="00E333E7" w:rsidRPr="00A44C15">
        <w:rPr>
          <w:sz w:val="22"/>
          <w:szCs w:val="22"/>
        </w:rPr>
        <w:t>to</w:t>
      </w:r>
      <w:r w:rsidRPr="00A44C15">
        <w:rPr>
          <w:sz w:val="22"/>
          <w:szCs w:val="22"/>
        </w:rPr>
        <w:t xml:space="preserve"> </w:t>
      </w:r>
      <w:r w:rsidR="00F414E2">
        <w:rPr>
          <w:sz w:val="22"/>
          <w:szCs w:val="22"/>
        </w:rPr>
        <w:t xml:space="preserve">the </w:t>
      </w:r>
      <w:r w:rsidR="00BB2B79">
        <w:rPr>
          <w:sz w:val="22"/>
          <w:szCs w:val="22"/>
        </w:rPr>
        <w:t xml:space="preserve">beginning of </w:t>
      </w:r>
      <w:r w:rsidR="00BB2B79" w:rsidRPr="00A44C15">
        <w:rPr>
          <w:sz w:val="22"/>
          <w:szCs w:val="22"/>
        </w:rPr>
        <w:t>2019 and</w:t>
      </w:r>
      <w:r w:rsidRPr="00A44C15">
        <w:rPr>
          <w:sz w:val="22"/>
          <w:szCs w:val="22"/>
        </w:rPr>
        <w:t xml:space="preserve"> consider the costs of continuing the </w:t>
      </w:r>
      <w:r w:rsidR="00CE204A" w:rsidRPr="00A44C15">
        <w:rPr>
          <w:sz w:val="22"/>
          <w:szCs w:val="22"/>
        </w:rPr>
        <w:t xml:space="preserve">ICNO </w:t>
      </w:r>
      <w:r w:rsidR="00E5141E" w:rsidRPr="00A44C15">
        <w:rPr>
          <w:sz w:val="22"/>
          <w:szCs w:val="22"/>
        </w:rPr>
        <w:t xml:space="preserve">observing </w:t>
      </w:r>
      <w:r w:rsidRPr="00A44C15">
        <w:rPr>
          <w:sz w:val="22"/>
          <w:szCs w:val="22"/>
        </w:rPr>
        <w:t>capabilities</w:t>
      </w:r>
      <w:r w:rsidR="00741656" w:rsidRPr="00A44C15">
        <w:rPr>
          <w:sz w:val="22"/>
          <w:szCs w:val="22"/>
        </w:rPr>
        <w:t xml:space="preserve"> </w:t>
      </w:r>
      <w:r w:rsidR="00B73840" w:rsidRPr="00A44C15">
        <w:rPr>
          <w:sz w:val="22"/>
          <w:szCs w:val="22"/>
        </w:rPr>
        <w:t xml:space="preserve">funded by the M&amp;O </w:t>
      </w:r>
      <w:r w:rsidR="00CE204A" w:rsidRPr="00A44C15">
        <w:rPr>
          <w:sz w:val="22"/>
          <w:szCs w:val="22"/>
        </w:rPr>
        <w:t>Cooperative Agreement</w:t>
      </w:r>
      <w:r w:rsidR="00F414E2">
        <w:rPr>
          <w:sz w:val="22"/>
          <w:szCs w:val="22"/>
        </w:rPr>
        <w:t xml:space="preserve"> through 2021. The </w:t>
      </w:r>
      <w:r w:rsidR="00BB2B79">
        <w:rPr>
          <w:sz w:val="22"/>
          <w:szCs w:val="22"/>
        </w:rPr>
        <w:t>Panel</w:t>
      </w:r>
      <w:r w:rsidR="00F414E2">
        <w:rPr>
          <w:sz w:val="22"/>
          <w:szCs w:val="22"/>
        </w:rPr>
        <w:t xml:space="preserve"> may </w:t>
      </w:r>
      <w:r w:rsidR="00BB2B79">
        <w:rPr>
          <w:sz w:val="22"/>
          <w:szCs w:val="22"/>
        </w:rPr>
        <w:t>also</w:t>
      </w:r>
      <w:r w:rsidR="00F414E2">
        <w:rPr>
          <w:sz w:val="22"/>
          <w:szCs w:val="22"/>
        </w:rPr>
        <w:t xml:space="preserve"> assess the </w:t>
      </w:r>
      <w:r w:rsidR="00CE204A" w:rsidRPr="00A44C15">
        <w:rPr>
          <w:sz w:val="22"/>
          <w:szCs w:val="22"/>
        </w:rPr>
        <w:t xml:space="preserve">currently needed and future </w:t>
      </w:r>
      <w:r w:rsidR="00E333E7" w:rsidRPr="00A44C15">
        <w:rPr>
          <w:sz w:val="22"/>
          <w:szCs w:val="22"/>
        </w:rPr>
        <w:t xml:space="preserve">developments of the </w:t>
      </w:r>
      <w:r w:rsidR="00490A1D" w:rsidRPr="00A44C15">
        <w:rPr>
          <w:sz w:val="22"/>
          <w:szCs w:val="22"/>
        </w:rPr>
        <w:t>ICNO capabilities</w:t>
      </w:r>
      <w:r w:rsidR="00E333E7" w:rsidRPr="00A44C15">
        <w:rPr>
          <w:sz w:val="22"/>
          <w:szCs w:val="22"/>
        </w:rPr>
        <w:t>.</w:t>
      </w:r>
      <w:r w:rsidR="00741656" w:rsidRPr="00A44C15">
        <w:rPr>
          <w:sz w:val="22"/>
          <w:szCs w:val="22"/>
        </w:rPr>
        <w:t xml:space="preserve"> </w:t>
      </w:r>
    </w:p>
    <w:p w14:paraId="5C315BC4" w14:textId="72B06D0A" w:rsidR="00741656" w:rsidRDefault="00741656" w:rsidP="00CE204A">
      <w:pPr>
        <w:pStyle w:val="Default"/>
        <w:spacing w:after="120"/>
        <w:ind w:firstLine="360"/>
        <w:jc w:val="both"/>
        <w:rPr>
          <w:sz w:val="22"/>
          <w:szCs w:val="22"/>
        </w:rPr>
      </w:pPr>
      <w:r w:rsidRPr="00A44C15">
        <w:rPr>
          <w:sz w:val="22"/>
          <w:szCs w:val="22"/>
        </w:rPr>
        <w:t xml:space="preserve">As identified in the </w:t>
      </w:r>
      <w:r w:rsidR="00050EF8" w:rsidRPr="00A44C15">
        <w:rPr>
          <w:sz w:val="22"/>
          <w:szCs w:val="22"/>
        </w:rPr>
        <w:t xml:space="preserve">attached copy of the </w:t>
      </w:r>
      <w:r w:rsidRPr="00A44C15">
        <w:rPr>
          <w:sz w:val="22"/>
          <w:szCs w:val="22"/>
        </w:rPr>
        <w:t>ICNO</w:t>
      </w:r>
      <w:r w:rsidR="00CE204A" w:rsidRPr="00A44C15">
        <w:rPr>
          <w:sz w:val="22"/>
          <w:szCs w:val="22"/>
        </w:rPr>
        <w:t xml:space="preserve">/M&amp;O Cooperative </w:t>
      </w:r>
      <w:r w:rsidR="00BB2B79" w:rsidRPr="00A44C15">
        <w:rPr>
          <w:sz w:val="22"/>
          <w:szCs w:val="22"/>
        </w:rPr>
        <w:t>Agreement</w:t>
      </w:r>
      <w:r w:rsidRPr="00A44C15">
        <w:rPr>
          <w:sz w:val="22"/>
          <w:szCs w:val="22"/>
        </w:rPr>
        <w:t>, the following elements should be considered in the Panel’s recommendation:</w:t>
      </w:r>
    </w:p>
    <w:p w14:paraId="2769DCE3" w14:textId="6FB2B824" w:rsidR="00A44C15" w:rsidRDefault="007D1EBF" w:rsidP="006A31E9">
      <w:pPr>
        <w:pStyle w:val="Default"/>
        <w:numPr>
          <w:ilvl w:val="1"/>
          <w:numId w:val="14"/>
        </w:numPr>
        <w:ind w:left="63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ICNO </w:t>
      </w:r>
      <w:r w:rsidR="00C5140A">
        <w:rPr>
          <w:sz w:val="22"/>
          <w:szCs w:val="22"/>
        </w:rPr>
        <w:t xml:space="preserve">Scientific and Technical </w:t>
      </w:r>
      <w:r>
        <w:rPr>
          <w:sz w:val="22"/>
          <w:szCs w:val="22"/>
        </w:rPr>
        <w:t>M</w:t>
      </w:r>
      <w:r w:rsidR="00A44C15">
        <w:rPr>
          <w:sz w:val="22"/>
          <w:szCs w:val="22"/>
        </w:rPr>
        <w:t>anagement:</w:t>
      </w:r>
    </w:p>
    <w:p w14:paraId="285C4B3C" w14:textId="1A3B37F5" w:rsidR="0025693F" w:rsidRDefault="00A44C15" w:rsidP="006A31E9">
      <w:pPr>
        <w:pStyle w:val="Default"/>
        <w:numPr>
          <w:ilvl w:val="1"/>
          <w:numId w:val="15"/>
        </w:numPr>
        <w:ind w:left="1080"/>
        <w:rPr>
          <w:sz w:val="22"/>
          <w:szCs w:val="22"/>
        </w:rPr>
      </w:pPr>
      <w:r w:rsidRPr="0025693F">
        <w:rPr>
          <w:sz w:val="22"/>
          <w:szCs w:val="22"/>
        </w:rPr>
        <w:t>Technical progress (</w:t>
      </w:r>
      <w:r w:rsidR="00BB2B79">
        <w:rPr>
          <w:sz w:val="22"/>
          <w:szCs w:val="22"/>
        </w:rPr>
        <w:t>h</w:t>
      </w:r>
      <w:r w:rsidR="00BB2B79" w:rsidRPr="0025693F">
        <w:rPr>
          <w:sz w:val="22"/>
          <w:szCs w:val="22"/>
        </w:rPr>
        <w:t>ardware</w:t>
      </w:r>
      <w:r w:rsidR="0025693F" w:rsidRPr="0025693F">
        <w:rPr>
          <w:sz w:val="22"/>
          <w:szCs w:val="22"/>
        </w:rPr>
        <w:t xml:space="preserve"> data collection systems at South Pole and UW</w:t>
      </w:r>
      <w:r w:rsidRPr="0025693F">
        <w:rPr>
          <w:sz w:val="22"/>
          <w:szCs w:val="22"/>
        </w:rPr>
        <w:t>)</w:t>
      </w:r>
    </w:p>
    <w:p w14:paraId="65A1F2D5" w14:textId="30A3EA2C" w:rsidR="0025693F" w:rsidRDefault="00A44C15" w:rsidP="006A31E9">
      <w:pPr>
        <w:pStyle w:val="Default"/>
        <w:numPr>
          <w:ilvl w:val="1"/>
          <w:numId w:val="15"/>
        </w:numPr>
        <w:ind w:left="1080"/>
        <w:rPr>
          <w:sz w:val="22"/>
          <w:szCs w:val="22"/>
        </w:rPr>
      </w:pPr>
      <w:r w:rsidRPr="0025693F">
        <w:rPr>
          <w:sz w:val="22"/>
          <w:szCs w:val="22"/>
        </w:rPr>
        <w:t>Systems architecture (IceCube and IceTop</w:t>
      </w:r>
      <w:r w:rsidR="0025693F" w:rsidRPr="0025693F">
        <w:rPr>
          <w:sz w:val="22"/>
          <w:szCs w:val="22"/>
        </w:rPr>
        <w:t xml:space="preserve"> triggering and filtering</w:t>
      </w:r>
      <w:r w:rsidRPr="0025693F">
        <w:rPr>
          <w:sz w:val="22"/>
          <w:szCs w:val="22"/>
        </w:rPr>
        <w:t>)</w:t>
      </w:r>
    </w:p>
    <w:p w14:paraId="1B5B7540" w14:textId="44647331" w:rsidR="006A31E9" w:rsidRDefault="00BB2B79" w:rsidP="006A31E9">
      <w:pPr>
        <w:pStyle w:val="Default"/>
        <w:numPr>
          <w:ilvl w:val="1"/>
          <w:numId w:val="15"/>
        </w:numPr>
        <w:ind w:left="1080"/>
        <w:rPr>
          <w:sz w:val="22"/>
          <w:szCs w:val="22"/>
        </w:rPr>
      </w:pPr>
      <w:r>
        <w:rPr>
          <w:sz w:val="22"/>
          <w:szCs w:val="22"/>
        </w:rPr>
        <w:t>Field</w:t>
      </w:r>
      <w:r w:rsidR="006A31E9">
        <w:rPr>
          <w:sz w:val="22"/>
          <w:szCs w:val="22"/>
        </w:rPr>
        <w:t xml:space="preserve"> support &amp; </w:t>
      </w:r>
      <w:r>
        <w:rPr>
          <w:sz w:val="22"/>
          <w:szCs w:val="22"/>
        </w:rPr>
        <w:t>logistics</w:t>
      </w:r>
      <w:r w:rsidR="006A31E9">
        <w:rPr>
          <w:sz w:val="22"/>
          <w:szCs w:val="22"/>
        </w:rPr>
        <w:t xml:space="preserve">, </w:t>
      </w:r>
      <w:r>
        <w:rPr>
          <w:sz w:val="22"/>
          <w:szCs w:val="22"/>
        </w:rPr>
        <w:t>hardware</w:t>
      </w:r>
      <w:r w:rsidR="006A31E9">
        <w:rPr>
          <w:sz w:val="22"/>
          <w:szCs w:val="22"/>
        </w:rPr>
        <w:t xml:space="preserve"> upgrades, R&amp;D effort for IceTop</w:t>
      </w:r>
    </w:p>
    <w:p w14:paraId="43CCB3DB" w14:textId="328320AE" w:rsidR="0025693F" w:rsidRDefault="0025693F" w:rsidP="006A31E9">
      <w:pPr>
        <w:pStyle w:val="Default"/>
        <w:numPr>
          <w:ilvl w:val="1"/>
          <w:numId w:val="15"/>
        </w:numPr>
        <w:ind w:left="1080"/>
        <w:rPr>
          <w:sz w:val="22"/>
          <w:szCs w:val="22"/>
        </w:rPr>
      </w:pPr>
      <w:r w:rsidRPr="0025693F">
        <w:rPr>
          <w:sz w:val="22"/>
          <w:szCs w:val="22"/>
        </w:rPr>
        <w:t xml:space="preserve">Data </w:t>
      </w:r>
      <w:r w:rsidR="00BB2B79" w:rsidRPr="0025693F">
        <w:rPr>
          <w:sz w:val="22"/>
          <w:szCs w:val="22"/>
        </w:rPr>
        <w:t>management</w:t>
      </w:r>
      <w:r w:rsidRPr="0025693F">
        <w:rPr>
          <w:sz w:val="22"/>
          <w:szCs w:val="22"/>
        </w:rPr>
        <w:t xml:space="preserve"> (preprocessing, local &amp; remote computing requirements, data transfer)</w:t>
      </w:r>
    </w:p>
    <w:p w14:paraId="46534579" w14:textId="13DBA117" w:rsidR="006A31E9" w:rsidRDefault="0025693F" w:rsidP="006A31E9">
      <w:pPr>
        <w:pStyle w:val="Default"/>
        <w:numPr>
          <w:ilvl w:val="1"/>
          <w:numId w:val="15"/>
        </w:numPr>
        <w:ind w:left="1080"/>
        <w:rPr>
          <w:sz w:val="22"/>
          <w:szCs w:val="22"/>
        </w:rPr>
      </w:pPr>
      <w:r w:rsidRPr="006A31E9">
        <w:rPr>
          <w:sz w:val="22"/>
          <w:szCs w:val="22"/>
        </w:rPr>
        <w:t xml:space="preserve">Data quality, simulation and </w:t>
      </w:r>
      <w:r w:rsidR="00BB2B79" w:rsidRPr="006A31E9">
        <w:rPr>
          <w:sz w:val="22"/>
          <w:szCs w:val="22"/>
        </w:rPr>
        <w:t>reconstruction</w:t>
      </w:r>
      <w:r w:rsidRPr="006A31E9">
        <w:rPr>
          <w:sz w:val="22"/>
          <w:szCs w:val="22"/>
        </w:rPr>
        <w:t xml:space="preserve"> tools</w:t>
      </w:r>
    </w:p>
    <w:p w14:paraId="2D8C4981" w14:textId="614244B9" w:rsidR="00A44C15" w:rsidRPr="006A31E9" w:rsidRDefault="0025693F" w:rsidP="006A31E9">
      <w:pPr>
        <w:pStyle w:val="Default"/>
        <w:numPr>
          <w:ilvl w:val="1"/>
          <w:numId w:val="15"/>
        </w:numPr>
        <w:ind w:left="1080"/>
        <w:rPr>
          <w:sz w:val="22"/>
          <w:szCs w:val="22"/>
        </w:rPr>
      </w:pPr>
      <w:r w:rsidRPr="006A31E9">
        <w:rPr>
          <w:sz w:val="22"/>
          <w:szCs w:val="22"/>
        </w:rPr>
        <w:t>Analysis coordination and publications</w:t>
      </w:r>
      <w:r w:rsidR="00A44C15" w:rsidRPr="006A31E9">
        <w:rPr>
          <w:sz w:val="22"/>
          <w:szCs w:val="22"/>
        </w:rPr>
        <w:tab/>
      </w:r>
    </w:p>
    <w:p w14:paraId="2A61CB97" w14:textId="77777777" w:rsidR="00A44C15" w:rsidRDefault="00A44C15" w:rsidP="00A44C15">
      <w:pPr>
        <w:pStyle w:val="Default"/>
        <w:jc w:val="both"/>
        <w:rPr>
          <w:sz w:val="22"/>
          <w:szCs w:val="22"/>
        </w:rPr>
      </w:pPr>
    </w:p>
    <w:p w14:paraId="65DCCFCE" w14:textId="57EF909C" w:rsidR="00A44C15" w:rsidRPr="00A44C15" w:rsidRDefault="006A31E9" w:rsidP="006A31E9">
      <w:pPr>
        <w:pStyle w:val="Default"/>
        <w:ind w:left="720" w:hanging="45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2816C4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 ICNO </w:t>
      </w:r>
      <w:r w:rsidR="00C5140A">
        <w:rPr>
          <w:sz w:val="22"/>
          <w:szCs w:val="22"/>
        </w:rPr>
        <w:t xml:space="preserve">Program Management and </w:t>
      </w:r>
      <w:r>
        <w:rPr>
          <w:sz w:val="22"/>
          <w:szCs w:val="22"/>
        </w:rPr>
        <w:t>Business S</w:t>
      </w:r>
      <w:r w:rsidR="00A44C15" w:rsidRPr="00A44C15">
        <w:rPr>
          <w:sz w:val="22"/>
          <w:szCs w:val="22"/>
        </w:rPr>
        <w:t>ystem</w:t>
      </w:r>
      <w:r w:rsidR="00C5140A">
        <w:rPr>
          <w:sz w:val="22"/>
          <w:szCs w:val="22"/>
        </w:rPr>
        <w:t>s</w:t>
      </w:r>
      <w:r w:rsidR="00A44C15" w:rsidRPr="00A44C15">
        <w:rPr>
          <w:sz w:val="22"/>
          <w:szCs w:val="22"/>
        </w:rPr>
        <w:t>:</w:t>
      </w:r>
      <w:r w:rsidR="00A44C15" w:rsidRPr="00A44C15">
        <w:rPr>
          <w:sz w:val="22"/>
          <w:szCs w:val="22"/>
        </w:rPr>
        <w:tab/>
      </w:r>
      <w:r w:rsidR="00A44C15" w:rsidRPr="00A44C15">
        <w:rPr>
          <w:sz w:val="22"/>
          <w:szCs w:val="22"/>
        </w:rPr>
        <w:tab/>
      </w:r>
      <w:r w:rsidR="00A44C15" w:rsidRPr="00A44C15">
        <w:rPr>
          <w:sz w:val="22"/>
          <w:szCs w:val="22"/>
        </w:rPr>
        <w:tab/>
      </w:r>
      <w:r w:rsidR="00A44C15" w:rsidRPr="00A44C15">
        <w:rPr>
          <w:sz w:val="22"/>
          <w:szCs w:val="22"/>
        </w:rPr>
        <w:tab/>
      </w:r>
      <w:r w:rsidR="00A44C15" w:rsidRPr="00A44C15">
        <w:rPr>
          <w:sz w:val="22"/>
          <w:szCs w:val="22"/>
        </w:rPr>
        <w:tab/>
      </w:r>
    </w:p>
    <w:p w14:paraId="67DD79C4" w14:textId="29FF6D26" w:rsidR="00A44C15" w:rsidRPr="00A44C15" w:rsidRDefault="00F414E2" w:rsidP="00F414E2">
      <w:pPr>
        <w:pStyle w:val="Default"/>
        <w:numPr>
          <w:ilvl w:val="1"/>
          <w:numId w:val="11"/>
        </w:numPr>
        <w:tabs>
          <w:tab w:val="clear" w:pos="1440"/>
        </w:tabs>
        <w:ind w:left="990" w:hanging="27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A44C15" w:rsidRPr="00A44C15">
        <w:rPr>
          <w:sz w:val="22"/>
          <w:szCs w:val="22"/>
        </w:rPr>
        <w:t xml:space="preserve">University </w:t>
      </w:r>
      <w:r w:rsidR="00C5140A">
        <w:rPr>
          <w:sz w:val="22"/>
          <w:szCs w:val="22"/>
        </w:rPr>
        <w:t xml:space="preserve">and WIPAC </w:t>
      </w:r>
      <w:r w:rsidR="00A44C15" w:rsidRPr="00A44C15">
        <w:rPr>
          <w:sz w:val="22"/>
          <w:szCs w:val="22"/>
        </w:rPr>
        <w:t>administrative structure:</w:t>
      </w:r>
    </w:p>
    <w:p w14:paraId="36954F89" w14:textId="1943ED25" w:rsidR="00A44C15" w:rsidRPr="00A44C15" w:rsidRDefault="00A44C15" w:rsidP="00F414E2">
      <w:pPr>
        <w:pStyle w:val="Default"/>
        <w:numPr>
          <w:ilvl w:val="2"/>
          <w:numId w:val="11"/>
        </w:numPr>
        <w:tabs>
          <w:tab w:val="clear" w:pos="2340"/>
        </w:tabs>
        <w:ind w:left="1440" w:hanging="270"/>
        <w:jc w:val="both"/>
        <w:rPr>
          <w:sz w:val="22"/>
          <w:szCs w:val="22"/>
        </w:rPr>
      </w:pPr>
      <w:r w:rsidRPr="00A44C15">
        <w:rPr>
          <w:sz w:val="22"/>
          <w:szCs w:val="22"/>
        </w:rPr>
        <w:t>Oversight, reporting</w:t>
      </w:r>
    </w:p>
    <w:p w14:paraId="191913DD" w14:textId="20801896" w:rsidR="00A44C15" w:rsidRPr="00A44C15" w:rsidRDefault="006A31E9" w:rsidP="00F414E2">
      <w:pPr>
        <w:pStyle w:val="Default"/>
        <w:numPr>
          <w:ilvl w:val="2"/>
          <w:numId w:val="11"/>
        </w:numPr>
        <w:tabs>
          <w:tab w:val="clear" w:pos="2340"/>
        </w:tabs>
        <w:ind w:left="1440" w:hanging="270"/>
        <w:jc w:val="both"/>
        <w:rPr>
          <w:sz w:val="22"/>
          <w:szCs w:val="22"/>
        </w:rPr>
      </w:pPr>
      <w:r>
        <w:rPr>
          <w:sz w:val="22"/>
          <w:szCs w:val="22"/>
        </w:rPr>
        <w:t>Advisory mechanisms</w:t>
      </w:r>
      <w:r w:rsidR="00C5140A">
        <w:rPr>
          <w:sz w:val="22"/>
          <w:szCs w:val="22"/>
        </w:rPr>
        <w:t>.</w:t>
      </w:r>
    </w:p>
    <w:p w14:paraId="721BB7A2" w14:textId="5DBAEE60" w:rsidR="00A44C15" w:rsidRPr="00A44C15" w:rsidRDefault="00C5140A" w:rsidP="00F414E2">
      <w:pPr>
        <w:pStyle w:val="Default"/>
        <w:numPr>
          <w:ilvl w:val="1"/>
          <w:numId w:val="11"/>
        </w:numPr>
        <w:tabs>
          <w:tab w:val="clear" w:pos="1440"/>
        </w:tabs>
        <w:ind w:left="1170" w:hanging="450"/>
        <w:jc w:val="both"/>
        <w:rPr>
          <w:sz w:val="22"/>
          <w:szCs w:val="22"/>
        </w:rPr>
      </w:pPr>
      <w:r>
        <w:rPr>
          <w:sz w:val="22"/>
          <w:szCs w:val="22"/>
        </w:rPr>
        <w:t>Program O</w:t>
      </w:r>
      <w:r w:rsidR="00A44C15" w:rsidRPr="00A44C15">
        <w:rPr>
          <w:sz w:val="22"/>
          <w:szCs w:val="22"/>
        </w:rPr>
        <w:t xml:space="preserve">rganizational </w:t>
      </w:r>
      <w:r>
        <w:rPr>
          <w:sz w:val="22"/>
          <w:szCs w:val="22"/>
        </w:rPr>
        <w:t>S</w:t>
      </w:r>
      <w:r w:rsidR="00A44C15" w:rsidRPr="00A44C15">
        <w:rPr>
          <w:sz w:val="22"/>
          <w:szCs w:val="22"/>
        </w:rPr>
        <w:t>tructure:</w:t>
      </w:r>
    </w:p>
    <w:p w14:paraId="2C60C474" w14:textId="42AE1B0E" w:rsidR="00A44C15" w:rsidRPr="00A44C15" w:rsidRDefault="00A44C15" w:rsidP="00F414E2">
      <w:pPr>
        <w:pStyle w:val="Default"/>
        <w:numPr>
          <w:ilvl w:val="2"/>
          <w:numId w:val="11"/>
        </w:numPr>
        <w:tabs>
          <w:tab w:val="clear" w:pos="2340"/>
        </w:tabs>
        <w:ind w:left="1530"/>
        <w:jc w:val="both"/>
        <w:rPr>
          <w:sz w:val="22"/>
          <w:szCs w:val="22"/>
        </w:rPr>
      </w:pPr>
      <w:r w:rsidRPr="00A44C15">
        <w:rPr>
          <w:sz w:val="22"/>
          <w:szCs w:val="22"/>
        </w:rPr>
        <w:t xml:space="preserve">WBS </w:t>
      </w:r>
      <w:r w:rsidR="00C5140A">
        <w:rPr>
          <w:sz w:val="22"/>
          <w:szCs w:val="22"/>
        </w:rPr>
        <w:t>and</w:t>
      </w:r>
      <w:r w:rsidRPr="00A44C15">
        <w:rPr>
          <w:sz w:val="22"/>
          <w:szCs w:val="22"/>
        </w:rPr>
        <w:t xml:space="preserve"> reporting structure</w:t>
      </w:r>
      <w:r w:rsidR="00C5140A">
        <w:rPr>
          <w:sz w:val="22"/>
          <w:szCs w:val="22"/>
        </w:rPr>
        <w:t xml:space="preserve">s of the U.S. and in-kind </w:t>
      </w:r>
      <w:r w:rsidR="000F49A6">
        <w:rPr>
          <w:sz w:val="22"/>
          <w:szCs w:val="22"/>
        </w:rPr>
        <w:t>contributions</w:t>
      </w:r>
    </w:p>
    <w:p w14:paraId="175D60B2" w14:textId="6C732062" w:rsidR="00A44C15" w:rsidRDefault="00A44C15" w:rsidP="00F414E2">
      <w:pPr>
        <w:pStyle w:val="Default"/>
        <w:numPr>
          <w:ilvl w:val="2"/>
          <w:numId w:val="11"/>
        </w:numPr>
        <w:tabs>
          <w:tab w:val="clear" w:pos="2340"/>
        </w:tabs>
        <w:ind w:left="1530"/>
        <w:jc w:val="both"/>
        <w:rPr>
          <w:sz w:val="22"/>
          <w:szCs w:val="22"/>
        </w:rPr>
      </w:pPr>
      <w:r w:rsidRPr="00A44C15">
        <w:rPr>
          <w:sz w:val="22"/>
          <w:szCs w:val="22"/>
        </w:rPr>
        <w:t>Change</w:t>
      </w:r>
      <w:r w:rsidR="006A31E9">
        <w:rPr>
          <w:sz w:val="22"/>
          <w:szCs w:val="22"/>
        </w:rPr>
        <w:t xml:space="preserve"> &amp;</w:t>
      </w:r>
      <w:r w:rsidRPr="00A44C15">
        <w:rPr>
          <w:sz w:val="22"/>
          <w:szCs w:val="22"/>
        </w:rPr>
        <w:t xml:space="preserve"> </w:t>
      </w:r>
      <w:r w:rsidR="006A31E9" w:rsidRPr="00A44C15">
        <w:rPr>
          <w:sz w:val="22"/>
          <w:szCs w:val="22"/>
        </w:rPr>
        <w:t xml:space="preserve">interface </w:t>
      </w:r>
      <w:r w:rsidRPr="00A44C15">
        <w:rPr>
          <w:sz w:val="22"/>
          <w:szCs w:val="22"/>
        </w:rPr>
        <w:t>control</w:t>
      </w:r>
      <w:r w:rsidR="006A31E9">
        <w:rPr>
          <w:sz w:val="22"/>
          <w:szCs w:val="22"/>
        </w:rPr>
        <w:t>s</w:t>
      </w:r>
      <w:r w:rsidRPr="00A44C15">
        <w:rPr>
          <w:sz w:val="22"/>
          <w:szCs w:val="22"/>
        </w:rPr>
        <w:t xml:space="preserve">, </w:t>
      </w:r>
      <w:r w:rsidR="00BB2B79" w:rsidRPr="00A44C15">
        <w:rPr>
          <w:sz w:val="22"/>
          <w:szCs w:val="22"/>
        </w:rPr>
        <w:t>technical</w:t>
      </w:r>
      <w:r w:rsidRPr="00A44C15">
        <w:rPr>
          <w:sz w:val="22"/>
          <w:szCs w:val="22"/>
        </w:rPr>
        <w:t xml:space="preserve"> board role, </w:t>
      </w:r>
      <w:r w:rsidR="00C5140A">
        <w:rPr>
          <w:sz w:val="22"/>
          <w:szCs w:val="22"/>
        </w:rPr>
        <w:t>program</w:t>
      </w:r>
      <w:r w:rsidRPr="00A44C15">
        <w:rPr>
          <w:sz w:val="22"/>
          <w:szCs w:val="22"/>
        </w:rPr>
        <w:t xml:space="preserve"> integration activities, </w:t>
      </w:r>
      <w:r w:rsidR="006A31E9">
        <w:rPr>
          <w:sz w:val="22"/>
          <w:szCs w:val="22"/>
        </w:rPr>
        <w:t>etc.</w:t>
      </w:r>
    </w:p>
    <w:p w14:paraId="17AE4158" w14:textId="71A34AF9" w:rsidR="00C5140A" w:rsidRPr="00A44C15" w:rsidRDefault="00C5140A" w:rsidP="00F414E2">
      <w:pPr>
        <w:pStyle w:val="Default"/>
        <w:numPr>
          <w:ilvl w:val="2"/>
          <w:numId w:val="11"/>
        </w:numPr>
        <w:tabs>
          <w:tab w:val="clear" w:pos="2340"/>
        </w:tabs>
        <w:ind w:left="1530"/>
        <w:jc w:val="both"/>
        <w:rPr>
          <w:sz w:val="22"/>
          <w:szCs w:val="22"/>
        </w:rPr>
      </w:pPr>
      <w:r>
        <w:rPr>
          <w:sz w:val="22"/>
          <w:szCs w:val="22"/>
        </w:rPr>
        <w:t>Compliance monitoring of work conditions and requirements</w:t>
      </w:r>
    </w:p>
    <w:p w14:paraId="3DDFB7A6" w14:textId="3AB6E4CD" w:rsidR="00C5140A" w:rsidRPr="00A44C15" w:rsidRDefault="00C5140A" w:rsidP="00C5140A">
      <w:pPr>
        <w:pStyle w:val="Default"/>
        <w:numPr>
          <w:ilvl w:val="2"/>
          <w:numId w:val="11"/>
        </w:numPr>
        <w:tabs>
          <w:tab w:val="clear" w:pos="2340"/>
        </w:tabs>
        <w:ind w:left="1530"/>
        <w:jc w:val="both"/>
        <w:rPr>
          <w:sz w:val="22"/>
          <w:szCs w:val="22"/>
        </w:rPr>
      </w:pPr>
      <w:r>
        <w:rPr>
          <w:sz w:val="22"/>
          <w:szCs w:val="22"/>
        </w:rPr>
        <w:t>Resource loading planning</w:t>
      </w:r>
    </w:p>
    <w:p w14:paraId="56A95AB1" w14:textId="6F4D8C6E" w:rsidR="00C5140A" w:rsidRPr="00A44C15" w:rsidRDefault="00C5140A" w:rsidP="00C5140A">
      <w:pPr>
        <w:pStyle w:val="Default"/>
        <w:numPr>
          <w:ilvl w:val="2"/>
          <w:numId w:val="11"/>
        </w:numPr>
        <w:tabs>
          <w:tab w:val="clear" w:pos="2340"/>
        </w:tabs>
        <w:ind w:left="1530"/>
        <w:jc w:val="both"/>
        <w:rPr>
          <w:sz w:val="22"/>
          <w:szCs w:val="22"/>
        </w:rPr>
      </w:pPr>
      <w:r w:rsidRPr="00A44C15">
        <w:rPr>
          <w:sz w:val="22"/>
          <w:szCs w:val="22"/>
        </w:rPr>
        <w:t xml:space="preserve">Cost </w:t>
      </w:r>
      <w:r>
        <w:rPr>
          <w:sz w:val="22"/>
          <w:szCs w:val="22"/>
        </w:rPr>
        <w:t>and schedule control</w:t>
      </w:r>
    </w:p>
    <w:p w14:paraId="74535C3C" w14:textId="0D115193" w:rsidR="00A44C15" w:rsidRPr="00A44C15" w:rsidRDefault="006A31E9" w:rsidP="00F414E2">
      <w:pPr>
        <w:pStyle w:val="Default"/>
        <w:numPr>
          <w:ilvl w:val="2"/>
          <w:numId w:val="11"/>
        </w:numPr>
        <w:tabs>
          <w:tab w:val="clear" w:pos="2340"/>
        </w:tabs>
        <w:ind w:left="15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Coordination with NSF and Antarctic Support </w:t>
      </w:r>
      <w:r w:rsidR="00BB2B79">
        <w:rPr>
          <w:sz w:val="22"/>
          <w:szCs w:val="22"/>
        </w:rPr>
        <w:t>Contractor</w:t>
      </w:r>
      <w:r w:rsidR="00C5140A">
        <w:rPr>
          <w:sz w:val="22"/>
          <w:szCs w:val="22"/>
        </w:rPr>
        <w:t>.</w:t>
      </w:r>
    </w:p>
    <w:p w14:paraId="7F191873" w14:textId="77777777" w:rsidR="00A44C15" w:rsidRPr="00A44C15" w:rsidRDefault="00A44C15" w:rsidP="002816C4">
      <w:pPr>
        <w:pStyle w:val="Default"/>
        <w:jc w:val="both"/>
        <w:rPr>
          <w:sz w:val="22"/>
          <w:szCs w:val="22"/>
        </w:rPr>
      </w:pPr>
    </w:p>
    <w:p w14:paraId="63072649" w14:textId="348455A0" w:rsidR="00EF7365" w:rsidRPr="00A44C15" w:rsidRDefault="00050EF8" w:rsidP="00F414E2">
      <w:pPr>
        <w:pStyle w:val="Default"/>
        <w:spacing w:after="120"/>
        <w:ind w:firstLine="450"/>
        <w:jc w:val="both"/>
        <w:rPr>
          <w:sz w:val="22"/>
          <w:szCs w:val="22"/>
        </w:rPr>
      </w:pPr>
      <w:r w:rsidRPr="00A44C15">
        <w:rPr>
          <w:sz w:val="22"/>
          <w:szCs w:val="22"/>
        </w:rPr>
        <w:t>The Panel</w:t>
      </w:r>
      <w:r w:rsidR="00EF7365" w:rsidRPr="00A44C15">
        <w:rPr>
          <w:sz w:val="22"/>
          <w:szCs w:val="22"/>
        </w:rPr>
        <w:t xml:space="preserve"> should consider the effects of its recommendations on the future landscape of the </w:t>
      </w:r>
      <w:r w:rsidR="008F3DF1" w:rsidRPr="00A44C15">
        <w:rPr>
          <w:sz w:val="22"/>
          <w:szCs w:val="22"/>
        </w:rPr>
        <w:t xml:space="preserve">U.S. </w:t>
      </w:r>
      <w:r w:rsidR="00A25498" w:rsidRPr="00A44C15">
        <w:rPr>
          <w:sz w:val="22"/>
          <w:szCs w:val="22"/>
        </w:rPr>
        <w:t>and</w:t>
      </w:r>
      <w:r w:rsidR="00490A1D" w:rsidRPr="00A44C15">
        <w:rPr>
          <w:sz w:val="22"/>
          <w:szCs w:val="22"/>
        </w:rPr>
        <w:t xml:space="preserve"> international particle astroph</w:t>
      </w:r>
      <w:r w:rsidR="00A25498" w:rsidRPr="00A44C15">
        <w:rPr>
          <w:sz w:val="22"/>
          <w:szCs w:val="22"/>
        </w:rPr>
        <w:t>ys</w:t>
      </w:r>
      <w:r w:rsidR="00490A1D" w:rsidRPr="00A44C15">
        <w:rPr>
          <w:sz w:val="22"/>
          <w:szCs w:val="22"/>
        </w:rPr>
        <w:t>i</w:t>
      </w:r>
      <w:r w:rsidR="00A25498" w:rsidRPr="00A44C15">
        <w:rPr>
          <w:sz w:val="22"/>
          <w:szCs w:val="22"/>
        </w:rPr>
        <w:t xml:space="preserve">cs </w:t>
      </w:r>
      <w:r w:rsidR="00490A1D" w:rsidRPr="00A44C15">
        <w:rPr>
          <w:sz w:val="22"/>
          <w:szCs w:val="22"/>
        </w:rPr>
        <w:t>communities</w:t>
      </w:r>
      <w:r w:rsidR="00EF7365" w:rsidRPr="00A44C15">
        <w:rPr>
          <w:sz w:val="22"/>
          <w:szCs w:val="22"/>
        </w:rPr>
        <w:t xml:space="preserve">. The recommended </w:t>
      </w:r>
      <w:r w:rsidR="00A25498" w:rsidRPr="00A44C15">
        <w:rPr>
          <w:sz w:val="22"/>
          <w:szCs w:val="22"/>
        </w:rPr>
        <w:t>M&amp;O support</w:t>
      </w:r>
      <w:r w:rsidR="00EF7365" w:rsidRPr="00A44C15">
        <w:rPr>
          <w:sz w:val="22"/>
          <w:szCs w:val="22"/>
        </w:rPr>
        <w:t xml:space="preserve"> and </w:t>
      </w:r>
      <w:r w:rsidR="00A25498" w:rsidRPr="00A44C15">
        <w:rPr>
          <w:sz w:val="22"/>
          <w:szCs w:val="22"/>
        </w:rPr>
        <w:t>its potential</w:t>
      </w:r>
      <w:r w:rsidR="00EF7365" w:rsidRPr="00A44C15">
        <w:rPr>
          <w:sz w:val="22"/>
          <w:szCs w:val="22"/>
        </w:rPr>
        <w:t xml:space="preserve"> changes should be viable and lead to a vigorous and sustainable </w:t>
      </w:r>
      <w:r w:rsidR="00A25498" w:rsidRPr="00A44C15">
        <w:rPr>
          <w:sz w:val="22"/>
          <w:szCs w:val="22"/>
        </w:rPr>
        <w:t>scientif</w:t>
      </w:r>
      <w:r w:rsidR="00B73840" w:rsidRPr="00A44C15">
        <w:rPr>
          <w:sz w:val="22"/>
          <w:szCs w:val="22"/>
        </w:rPr>
        <w:t>ic</w:t>
      </w:r>
      <w:r w:rsidR="00A25498" w:rsidRPr="00A44C15">
        <w:rPr>
          <w:sz w:val="22"/>
          <w:szCs w:val="22"/>
        </w:rPr>
        <w:t xml:space="preserve"> research pr</w:t>
      </w:r>
      <w:r w:rsidR="00CB3C5D" w:rsidRPr="00A44C15">
        <w:rPr>
          <w:sz w:val="22"/>
          <w:szCs w:val="22"/>
        </w:rPr>
        <w:t>o</w:t>
      </w:r>
      <w:r w:rsidR="00A25498" w:rsidRPr="00A44C15">
        <w:rPr>
          <w:sz w:val="22"/>
          <w:szCs w:val="22"/>
        </w:rPr>
        <w:t>gram</w:t>
      </w:r>
      <w:r w:rsidR="00EF7365" w:rsidRPr="00A44C15">
        <w:rPr>
          <w:sz w:val="22"/>
          <w:szCs w:val="22"/>
        </w:rPr>
        <w:t xml:space="preserve">. </w:t>
      </w:r>
      <w:r w:rsidR="00164B2F" w:rsidRPr="00A44C15">
        <w:rPr>
          <w:sz w:val="22"/>
          <w:szCs w:val="22"/>
        </w:rPr>
        <w:t>The</w:t>
      </w:r>
      <w:r w:rsidR="00EF7365" w:rsidRPr="00A44C15">
        <w:rPr>
          <w:sz w:val="22"/>
          <w:szCs w:val="22"/>
        </w:rPr>
        <w:t xml:space="preserve"> </w:t>
      </w:r>
      <w:r w:rsidR="00A25498" w:rsidRPr="00A44C15">
        <w:rPr>
          <w:sz w:val="22"/>
          <w:szCs w:val="22"/>
        </w:rPr>
        <w:t>Pan</w:t>
      </w:r>
      <w:r w:rsidR="00B73840" w:rsidRPr="00A44C15">
        <w:rPr>
          <w:sz w:val="22"/>
          <w:szCs w:val="22"/>
        </w:rPr>
        <w:t>e</w:t>
      </w:r>
      <w:r w:rsidR="00A25498" w:rsidRPr="00A44C15">
        <w:rPr>
          <w:sz w:val="22"/>
          <w:szCs w:val="22"/>
        </w:rPr>
        <w:t>l</w:t>
      </w:r>
      <w:r w:rsidR="00EF7365" w:rsidRPr="00A44C15">
        <w:rPr>
          <w:sz w:val="22"/>
          <w:szCs w:val="22"/>
        </w:rPr>
        <w:t xml:space="preserve"> is asked to examine how the recommended </w:t>
      </w:r>
      <w:r w:rsidR="00A25498" w:rsidRPr="00A44C15">
        <w:rPr>
          <w:sz w:val="22"/>
          <w:szCs w:val="22"/>
        </w:rPr>
        <w:t>M&amp;O</w:t>
      </w:r>
      <w:r w:rsidR="00EF7365" w:rsidRPr="00A44C15">
        <w:rPr>
          <w:sz w:val="22"/>
          <w:szCs w:val="22"/>
        </w:rPr>
        <w:t xml:space="preserve"> </w:t>
      </w:r>
      <w:r w:rsidR="00490A1D" w:rsidRPr="00A44C15">
        <w:rPr>
          <w:sz w:val="22"/>
          <w:szCs w:val="22"/>
        </w:rPr>
        <w:t>activities</w:t>
      </w:r>
      <w:r w:rsidR="00A25498" w:rsidRPr="00A44C15">
        <w:rPr>
          <w:sz w:val="22"/>
          <w:szCs w:val="22"/>
        </w:rPr>
        <w:t xml:space="preserve"> may </w:t>
      </w:r>
      <w:r w:rsidR="00EF7365" w:rsidRPr="00A44C15">
        <w:rPr>
          <w:sz w:val="22"/>
          <w:szCs w:val="22"/>
        </w:rPr>
        <w:t xml:space="preserve">support and develop a workforce with the requisite abilities and diversity to exploit the recommended research and education investments. </w:t>
      </w:r>
    </w:p>
    <w:p w14:paraId="62431C0C" w14:textId="728E2430" w:rsidR="00494088" w:rsidRDefault="00050EF8" w:rsidP="00494088">
      <w:pPr>
        <w:pStyle w:val="Default"/>
        <w:spacing w:after="120"/>
        <w:ind w:firstLine="540"/>
        <w:jc w:val="both"/>
        <w:rPr>
          <w:sz w:val="22"/>
          <w:szCs w:val="22"/>
        </w:rPr>
      </w:pPr>
      <w:r w:rsidRPr="00A44C15">
        <w:rPr>
          <w:sz w:val="22"/>
          <w:szCs w:val="22"/>
        </w:rPr>
        <w:t xml:space="preserve">Finally, the elements of </w:t>
      </w:r>
      <w:r w:rsidR="00494088">
        <w:rPr>
          <w:sz w:val="22"/>
          <w:szCs w:val="22"/>
        </w:rPr>
        <w:t>r</w:t>
      </w:r>
      <w:r w:rsidRPr="00A44C15">
        <w:rPr>
          <w:sz w:val="22"/>
          <w:szCs w:val="22"/>
        </w:rPr>
        <w:t xml:space="preserve">ecommended support for ICNO should be prioritized in sufficient detail to enable NSF to make subsequent appropriate adjustments in response to variations in the </w:t>
      </w:r>
      <w:r w:rsidR="00490A1D" w:rsidRPr="00A44C15">
        <w:rPr>
          <w:sz w:val="22"/>
          <w:szCs w:val="22"/>
        </w:rPr>
        <w:t xml:space="preserve">available </w:t>
      </w:r>
      <w:r w:rsidRPr="00A44C15">
        <w:rPr>
          <w:sz w:val="22"/>
          <w:szCs w:val="22"/>
        </w:rPr>
        <w:t xml:space="preserve">Federal and non-Federal funding. </w:t>
      </w:r>
    </w:p>
    <w:p w14:paraId="520F3B60" w14:textId="2D65A81E" w:rsidR="006269E4" w:rsidRDefault="006269E4" w:rsidP="00494088">
      <w:pPr>
        <w:pStyle w:val="Default"/>
        <w:spacing w:after="120"/>
        <w:ind w:firstLine="540"/>
        <w:jc w:val="both"/>
        <w:rPr>
          <w:sz w:val="22"/>
          <w:szCs w:val="22"/>
        </w:rPr>
      </w:pPr>
    </w:p>
    <w:p w14:paraId="0DC39FCF" w14:textId="504B67F4" w:rsidR="006269E4" w:rsidRPr="00DA2C3C" w:rsidRDefault="006269E4" w:rsidP="006269E4">
      <w:pPr>
        <w:pStyle w:val="Default"/>
        <w:spacing w:after="120"/>
        <w:ind w:firstLine="720"/>
        <w:jc w:val="both"/>
        <w:rPr>
          <w:i/>
          <w:sz w:val="22"/>
          <w:szCs w:val="22"/>
        </w:rPr>
      </w:pPr>
      <w:r w:rsidRPr="00DA2C3C">
        <w:rPr>
          <w:i/>
          <w:sz w:val="22"/>
          <w:szCs w:val="22"/>
        </w:rPr>
        <w:t xml:space="preserve">NSF </w:t>
      </w:r>
      <w:r w:rsidR="00BB2B79">
        <w:rPr>
          <w:i/>
          <w:sz w:val="22"/>
          <w:szCs w:val="22"/>
        </w:rPr>
        <w:t xml:space="preserve">Cognizant </w:t>
      </w:r>
      <w:r w:rsidRPr="00DA2C3C">
        <w:rPr>
          <w:i/>
          <w:sz w:val="22"/>
          <w:szCs w:val="22"/>
        </w:rPr>
        <w:t>Program Officers:</w:t>
      </w:r>
    </w:p>
    <w:p w14:paraId="193DA9BC" w14:textId="6DA53E7A" w:rsidR="00494088" w:rsidRDefault="00494088" w:rsidP="00494088">
      <w:pPr>
        <w:pStyle w:val="Default"/>
        <w:spacing w:after="120"/>
        <w:ind w:firstLine="720"/>
        <w:jc w:val="both"/>
        <w:rPr>
          <w:i/>
          <w:sz w:val="22"/>
          <w:szCs w:val="22"/>
        </w:rPr>
        <w:sectPr w:rsidR="00494088" w:rsidSect="0049408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6340"/>
          <w:pgMar w:top="1870" w:right="901" w:bottom="764" w:left="1228" w:header="720" w:footer="720" w:gutter="0"/>
          <w:cols w:space="720"/>
          <w:noEndnote/>
        </w:sectPr>
      </w:pPr>
    </w:p>
    <w:p w14:paraId="0EBFCC27" w14:textId="2AB4A252" w:rsidR="00DA2C3C" w:rsidRPr="00DA2C3C" w:rsidRDefault="00DA2C3C" w:rsidP="00DA2C3C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A2C3C">
        <w:rPr>
          <w:rFonts w:ascii="Times New Roman" w:hAnsi="Times New Roman" w:cs="Times New Roman"/>
          <w:sz w:val="22"/>
          <w:szCs w:val="22"/>
        </w:rPr>
        <w:t>Dr. Vladimir Papitashvili</w:t>
      </w:r>
    </w:p>
    <w:p w14:paraId="6F07A11F" w14:textId="0F1E9845" w:rsidR="00DA2C3C" w:rsidRPr="00DA2C3C" w:rsidRDefault="00DA2C3C" w:rsidP="00DA2C3C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A2C3C">
        <w:rPr>
          <w:rFonts w:ascii="Times New Roman" w:hAnsi="Times New Roman" w:cs="Times New Roman"/>
          <w:sz w:val="22"/>
          <w:szCs w:val="22"/>
        </w:rPr>
        <w:t xml:space="preserve">Program Director </w:t>
      </w:r>
    </w:p>
    <w:p w14:paraId="12BD21DE" w14:textId="67D49097" w:rsidR="00DA2C3C" w:rsidRPr="00DA2C3C" w:rsidRDefault="00DA2C3C" w:rsidP="00DA2C3C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A2C3C">
        <w:rPr>
          <w:rFonts w:ascii="Times New Roman" w:hAnsi="Times New Roman" w:cs="Times New Roman"/>
          <w:sz w:val="22"/>
          <w:szCs w:val="22"/>
        </w:rPr>
        <w:t>Antarctic Astrophysics &amp; Geospace Sciences</w:t>
      </w:r>
      <w:r w:rsidRPr="00DA2C3C">
        <w:rPr>
          <w:rFonts w:ascii="Times New Roman" w:hAnsi="Times New Roman" w:cs="Times New Roman"/>
          <w:sz w:val="22"/>
          <w:szCs w:val="22"/>
        </w:rPr>
        <w:tab/>
      </w:r>
    </w:p>
    <w:p w14:paraId="7CC90202" w14:textId="0AC1330E" w:rsidR="00DA2C3C" w:rsidRPr="00DA2C3C" w:rsidRDefault="00DA2C3C" w:rsidP="00DA2C3C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GEO/</w:t>
      </w:r>
      <w:r w:rsidRPr="00DA2C3C">
        <w:rPr>
          <w:rFonts w:ascii="Times New Roman" w:hAnsi="Times New Roman" w:cs="Times New Roman"/>
          <w:sz w:val="22"/>
          <w:szCs w:val="22"/>
        </w:rPr>
        <w:t>Office of Polar Program</w:t>
      </w:r>
    </w:p>
    <w:p w14:paraId="465F080E" w14:textId="220DC14D" w:rsidR="00DA2C3C" w:rsidRPr="00DA2C3C" w:rsidRDefault="00DA2C3C" w:rsidP="00DA2C3C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A2C3C">
        <w:rPr>
          <w:rFonts w:ascii="Times New Roman" w:hAnsi="Times New Roman" w:cs="Times New Roman"/>
          <w:sz w:val="22"/>
          <w:szCs w:val="22"/>
        </w:rPr>
        <w:t xml:space="preserve">Phone: (703) 292-7425 </w:t>
      </w:r>
    </w:p>
    <w:p w14:paraId="46C4C858" w14:textId="287381AC" w:rsidR="00DA2C3C" w:rsidRDefault="00DA2C3C" w:rsidP="00DA2C3C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A2C3C">
        <w:rPr>
          <w:rFonts w:ascii="Times New Roman" w:hAnsi="Times New Roman" w:cs="Times New Roman"/>
          <w:sz w:val="22"/>
          <w:szCs w:val="22"/>
        </w:rPr>
        <w:t>E-mail: vpapita@nsf.gov</w:t>
      </w:r>
    </w:p>
    <w:p w14:paraId="72425E86" w14:textId="77313FF9" w:rsidR="00EB5A1B" w:rsidRDefault="00EB5A1B" w:rsidP="00DA2C3C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770390E" w14:textId="77777777" w:rsidR="00EB5A1B" w:rsidRPr="00DA2C3C" w:rsidRDefault="00EB5A1B" w:rsidP="00DA2C3C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5FA1D512" w14:textId="76C0C476" w:rsidR="00DA2C3C" w:rsidRPr="00DA2C3C" w:rsidRDefault="00DA2C3C" w:rsidP="00DA2C3C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A2C3C">
        <w:rPr>
          <w:rFonts w:ascii="Times New Roman" w:hAnsi="Times New Roman" w:cs="Times New Roman"/>
          <w:sz w:val="22"/>
          <w:szCs w:val="22"/>
        </w:rPr>
        <w:t>Dr. James Whitmore</w:t>
      </w:r>
    </w:p>
    <w:p w14:paraId="5E77F7F1" w14:textId="77777777" w:rsidR="00DA2C3C" w:rsidRPr="00DA2C3C" w:rsidRDefault="00DA2C3C" w:rsidP="00DA2C3C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A2C3C">
        <w:rPr>
          <w:rFonts w:ascii="Times New Roman" w:hAnsi="Times New Roman" w:cs="Times New Roman"/>
          <w:sz w:val="22"/>
          <w:szCs w:val="22"/>
        </w:rPr>
        <w:t>Program Director</w:t>
      </w:r>
    </w:p>
    <w:p w14:paraId="3B6FC1AD" w14:textId="612EBB9B" w:rsidR="00DA2C3C" w:rsidRPr="00DA2C3C" w:rsidRDefault="00DA2C3C" w:rsidP="00DA2C3C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A2C3C">
        <w:rPr>
          <w:rFonts w:ascii="Times New Roman" w:hAnsi="Times New Roman" w:cs="Times New Roman"/>
          <w:sz w:val="22"/>
          <w:szCs w:val="22"/>
        </w:rPr>
        <w:t>Particle Astrophysics</w:t>
      </w:r>
    </w:p>
    <w:p w14:paraId="4965DD9E" w14:textId="77777777" w:rsidR="00DA2C3C" w:rsidRPr="00DA2C3C" w:rsidRDefault="00DA2C3C" w:rsidP="00DA2C3C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A2C3C">
        <w:rPr>
          <w:rFonts w:ascii="Times New Roman" w:hAnsi="Times New Roman" w:cs="Times New Roman"/>
          <w:sz w:val="22"/>
          <w:szCs w:val="22"/>
        </w:rPr>
        <w:t xml:space="preserve">MPS/Division of Physics </w:t>
      </w:r>
    </w:p>
    <w:p w14:paraId="63F3D315" w14:textId="77777777" w:rsidR="00DA2C3C" w:rsidRPr="00DA2C3C" w:rsidRDefault="00DA2C3C" w:rsidP="00DA2C3C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A2C3C">
        <w:rPr>
          <w:rFonts w:ascii="Times New Roman" w:hAnsi="Times New Roman" w:cs="Times New Roman"/>
          <w:sz w:val="22"/>
          <w:szCs w:val="22"/>
        </w:rPr>
        <w:t>Phone: (703) 292-8908</w:t>
      </w:r>
    </w:p>
    <w:p w14:paraId="1BF5C0EC" w14:textId="77777777" w:rsidR="00DA2C3C" w:rsidRPr="00DA2C3C" w:rsidRDefault="00DA2C3C" w:rsidP="00DA2C3C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A2C3C">
        <w:rPr>
          <w:rFonts w:ascii="Times New Roman" w:hAnsi="Times New Roman" w:cs="Times New Roman"/>
          <w:sz w:val="22"/>
          <w:szCs w:val="22"/>
        </w:rPr>
        <w:t>E-mail: jwhitmor@nsf.gov</w:t>
      </w:r>
    </w:p>
    <w:p w14:paraId="00880CCA" w14:textId="77777777" w:rsidR="006269E4" w:rsidRDefault="006269E4" w:rsidP="00DA2C3C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093D4D6" w14:textId="07DC45EE" w:rsidR="00DA2C3C" w:rsidRPr="006269E4" w:rsidRDefault="00DA2C3C" w:rsidP="00DA2C3C">
      <w:pPr>
        <w:tabs>
          <w:tab w:val="left" w:pos="1440"/>
          <w:tab w:val="right" w:leader="dot" w:pos="8640"/>
        </w:tabs>
        <w:rPr>
          <w:rFonts w:ascii="Times New Roman" w:hAnsi="Times New Roman" w:cs="Times New Roman"/>
          <w:sz w:val="22"/>
          <w:szCs w:val="22"/>
        </w:rPr>
      </w:pPr>
    </w:p>
    <w:p w14:paraId="4D41909E" w14:textId="77777777" w:rsidR="00DA2C3C" w:rsidRDefault="00DA2C3C" w:rsidP="00DA2C3C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  <w:sectPr w:rsidR="00DA2C3C" w:rsidSect="00EB5A1B">
          <w:type w:val="continuous"/>
          <w:pgSz w:w="12240" w:h="16340"/>
          <w:pgMar w:top="1870" w:right="901" w:bottom="764" w:left="1228" w:header="720" w:footer="720" w:gutter="0"/>
          <w:cols w:num="2" w:space="720"/>
          <w:noEndnote/>
        </w:sectPr>
      </w:pPr>
    </w:p>
    <w:p w14:paraId="64DD4371" w14:textId="77777777" w:rsidR="00DA2C3C" w:rsidRDefault="00DA2C3C" w:rsidP="00DA2C3C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  <w:sectPr w:rsidR="00DA2C3C" w:rsidSect="00DA2C3C">
          <w:type w:val="continuous"/>
          <w:pgSz w:w="12240" w:h="16340"/>
          <w:pgMar w:top="1870" w:right="901" w:bottom="764" w:left="1228" w:header="720" w:footer="720" w:gutter="0"/>
          <w:cols w:space="720"/>
          <w:noEndnote/>
        </w:sectPr>
      </w:pPr>
    </w:p>
    <w:p w14:paraId="0EF88991" w14:textId="2FC9C656" w:rsidR="00EB5A1B" w:rsidRPr="00DA2C3C" w:rsidRDefault="00F8741F" w:rsidP="00EB5A1B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CA </w:t>
      </w:r>
      <w:r w:rsidR="00EB5A1B">
        <w:rPr>
          <w:rFonts w:ascii="Times New Roman" w:hAnsi="Times New Roman" w:cs="Times New Roman"/>
          <w:i/>
          <w:sz w:val="22"/>
          <w:szCs w:val="22"/>
        </w:rPr>
        <w:t>Cognizant Officer:</w:t>
      </w:r>
    </w:p>
    <w:p w14:paraId="1700EE1D" w14:textId="77777777" w:rsidR="00EB5A1B" w:rsidRPr="006269E4" w:rsidRDefault="00EB5A1B" w:rsidP="00EB5A1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6269E4">
        <w:rPr>
          <w:rFonts w:ascii="Times New Roman" w:hAnsi="Times New Roman" w:cs="Times New Roman"/>
          <w:sz w:val="22"/>
          <w:szCs w:val="22"/>
        </w:rPr>
        <w:t xml:space="preserve">Ms. </w:t>
      </w:r>
      <w:r>
        <w:rPr>
          <w:rFonts w:ascii="Times New Roman" w:hAnsi="Times New Roman" w:cs="Times New Roman"/>
          <w:sz w:val="22"/>
          <w:szCs w:val="22"/>
        </w:rPr>
        <w:t>Kristin Spencer</w:t>
      </w:r>
    </w:p>
    <w:p w14:paraId="19BB8F6D" w14:textId="77777777" w:rsidR="00EB5A1B" w:rsidRDefault="00EB5A1B" w:rsidP="00EB5A1B">
      <w:pPr>
        <w:tabs>
          <w:tab w:val="left" w:pos="1440"/>
          <w:tab w:val="right" w:leader="dot" w:pos="8640"/>
        </w:tabs>
        <w:rPr>
          <w:rFonts w:ascii="Times New Roman" w:hAnsi="Times New Roman" w:cs="Times New Roman"/>
          <w:color w:val="262523"/>
          <w:sz w:val="22"/>
          <w:szCs w:val="22"/>
        </w:rPr>
      </w:pPr>
      <w:r w:rsidRPr="00BB2B79">
        <w:rPr>
          <w:rFonts w:ascii="Times New Roman" w:hAnsi="Times New Roman" w:cs="Times New Roman"/>
          <w:color w:val="262523"/>
          <w:sz w:val="22"/>
          <w:szCs w:val="22"/>
        </w:rPr>
        <w:t>Grant &amp; Agreement Specialist</w:t>
      </w:r>
    </w:p>
    <w:p w14:paraId="4B7A079D" w14:textId="77777777" w:rsidR="00EB5A1B" w:rsidRPr="006269E4" w:rsidRDefault="00EB5A1B" w:rsidP="00EB5A1B">
      <w:pPr>
        <w:tabs>
          <w:tab w:val="left" w:pos="1440"/>
          <w:tab w:val="right" w:leader="dot" w:pos="8640"/>
        </w:tabs>
        <w:rPr>
          <w:rFonts w:ascii="Times New Roman" w:hAnsi="Times New Roman" w:cs="Times New Roman"/>
          <w:sz w:val="22"/>
          <w:szCs w:val="22"/>
        </w:rPr>
      </w:pPr>
      <w:r w:rsidRPr="006269E4">
        <w:rPr>
          <w:rFonts w:ascii="Times New Roman" w:hAnsi="Times New Roman" w:cs="Times New Roman"/>
          <w:sz w:val="22"/>
          <w:szCs w:val="22"/>
        </w:rPr>
        <w:t>NSF/</w:t>
      </w:r>
      <w:r>
        <w:rPr>
          <w:rFonts w:ascii="Times New Roman" w:hAnsi="Times New Roman" w:cs="Times New Roman"/>
          <w:sz w:val="22"/>
          <w:szCs w:val="22"/>
        </w:rPr>
        <w:t>DACS</w:t>
      </w:r>
    </w:p>
    <w:p w14:paraId="2382E2A9" w14:textId="3145067D" w:rsidR="00EB5A1B" w:rsidRPr="006269E4" w:rsidRDefault="00EB5A1B" w:rsidP="00EB5A1B">
      <w:pPr>
        <w:tabs>
          <w:tab w:val="left" w:pos="1440"/>
          <w:tab w:val="right" w:leader="dot" w:pos="8640"/>
        </w:tabs>
        <w:rPr>
          <w:rFonts w:ascii="Times New Roman" w:hAnsi="Times New Roman" w:cs="Times New Roman"/>
          <w:sz w:val="22"/>
          <w:szCs w:val="22"/>
        </w:rPr>
      </w:pPr>
      <w:r w:rsidRPr="006269E4">
        <w:rPr>
          <w:rFonts w:ascii="Times New Roman" w:hAnsi="Times New Roman" w:cs="Times New Roman"/>
          <w:sz w:val="22"/>
          <w:szCs w:val="22"/>
        </w:rPr>
        <w:t>Phone: 703-29</w:t>
      </w:r>
      <w:r w:rsidR="00C5140A">
        <w:rPr>
          <w:rFonts w:ascii="Times New Roman" w:hAnsi="Times New Roman" w:cs="Times New Roman"/>
          <w:sz w:val="22"/>
          <w:szCs w:val="22"/>
        </w:rPr>
        <w:t>2</w:t>
      </w:r>
      <w:r w:rsidRPr="006269E4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4585</w:t>
      </w:r>
    </w:p>
    <w:p w14:paraId="7A296C48" w14:textId="47FDD616" w:rsidR="00F8741F" w:rsidRDefault="00EB5A1B" w:rsidP="00E96EB0">
      <w:pPr>
        <w:tabs>
          <w:tab w:val="left" w:pos="1440"/>
          <w:tab w:val="right" w:leader="dot" w:pos="8640"/>
        </w:tabs>
        <w:rPr>
          <w:rFonts w:ascii="Times New Roman" w:hAnsi="Times New Roman" w:cs="Times New Roman"/>
          <w:sz w:val="22"/>
          <w:szCs w:val="22"/>
        </w:rPr>
      </w:pPr>
      <w:r w:rsidRPr="006269E4">
        <w:rPr>
          <w:rFonts w:ascii="Times New Roman" w:hAnsi="Times New Roman" w:cs="Times New Roman"/>
          <w:sz w:val="22"/>
          <w:szCs w:val="22"/>
        </w:rPr>
        <w:t>E-mail</w:t>
      </w:r>
      <w:r>
        <w:rPr>
          <w:rFonts w:ascii="Times New Roman" w:hAnsi="Times New Roman" w:cs="Times New Roman"/>
          <w:sz w:val="22"/>
          <w:szCs w:val="22"/>
        </w:rPr>
        <w:t>: kspencer</w:t>
      </w:r>
      <w:r w:rsidRPr="006269E4">
        <w:rPr>
          <w:rFonts w:ascii="Times New Roman" w:hAnsi="Times New Roman" w:cs="Times New Roman"/>
          <w:sz w:val="22"/>
          <w:szCs w:val="22"/>
        </w:rPr>
        <w:t>@nsf.gov</w:t>
      </w:r>
    </w:p>
    <w:p w14:paraId="700AEDA5" w14:textId="4016A461" w:rsidR="00E96EB0" w:rsidRDefault="00E96EB0" w:rsidP="00E96EB0">
      <w:pPr>
        <w:tabs>
          <w:tab w:val="left" w:pos="1440"/>
          <w:tab w:val="right" w:leader="dot" w:pos="8640"/>
        </w:tabs>
        <w:rPr>
          <w:rFonts w:ascii="Times New Roman" w:hAnsi="Times New Roman" w:cs="Times New Roman"/>
          <w:sz w:val="22"/>
          <w:szCs w:val="22"/>
        </w:rPr>
      </w:pPr>
    </w:p>
    <w:p w14:paraId="3FACF534" w14:textId="6175CB6E" w:rsidR="00C5140A" w:rsidRDefault="00C5140A" w:rsidP="00E96EB0">
      <w:pPr>
        <w:tabs>
          <w:tab w:val="left" w:pos="1440"/>
          <w:tab w:val="right" w:leader="dot" w:pos="8640"/>
        </w:tabs>
        <w:rPr>
          <w:rFonts w:ascii="Times New Roman" w:hAnsi="Times New Roman" w:cs="Times New Roman"/>
          <w:sz w:val="22"/>
          <w:szCs w:val="22"/>
        </w:rPr>
      </w:pPr>
    </w:p>
    <w:p w14:paraId="7F0A2BB9" w14:textId="443C6692" w:rsidR="00101176" w:rsidRDefault="00101176" w:rsidP="00E96EB0">
      <w:pPr>
        <w:tabs>
          <w:tab w:val="left" w:pos="1440"/>
          <w:tab w:val="right" w:leader="dot" w:pos="8640"/>
        </w:tabs>
        <w:rPr>
          <w:rFonts w:ascii="Times New Roman" w:hAnsi="Times New Roman" w:cs="Times New Roman"/>
          <w:sz w:val="22"/>
          <w:szCs w:val="22"/>
        </w:rPr>
      </w:pPr>
    </w:p>
    <w:p w14:paraId="5C37CD5F" w14:textId="77777777" w:rsidR="00101176" w:rsidRDefault="00101176" w:rsidP="00E96EB0">
      <w:pPr>
        <w:tabs>
          <w:tab w:val="left" w:pos="1440"/>
          <w:tab w:val="right" w:leader="dot" w:pos="8640"/>
        </w:tabs>
        <w:rPr>
          <w:rFonts w:ascii="Times New Roman" w:hAnsi="Times New Roman" w:cs="Times New Roman"/>
          <w:sz w:val="22"/>
          <w:szCs w:val="22"/>
        </w:rPr>
      </w:pPr>
    </w:p>
    <w:p w14:paraId="54F02FB4" w14:textId="6519BEA0" w:rsidR="00BB2B79" w:rsidRPr="00DA2C3C" w:rsidRDefault="00BB2B79" w:rsidP="00BB2B79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LFO </w:t>
      </w:r>
      <w:r w:rsidR="00C5140A">
        <w:rPr>
          <w:rFonts w:ascii="Times New Roman" w:hAnsi="Times New Roman" w:cs="Times New Roman"/>
          <w:i/>
          <w:sz w:val="22"/>
          <w:szCs w:val="22"/>
        </w:rPr>
        <w:t>Liaison</w:t>
      </w:r>
      <w:r w:rsidRPr="00DA2C3C">
        <w:rPr>
          <w:rFonts w:ascii="Times New Roman" w:hAnsi="Times New Roman" w:cs="Times New Roman"/>
          <w:i/>
          <w:sz w:val="22"/>
          <w:szCs w:val="22"/>
        </w:rPr>
        <w:t>:</w:t>
      </w:r>
    </w:p>
    <w:p w14:paraId="7E79B830" w14:textId="1566E524" w:rsidR="00BB2B79" w:rsidRPr="006269E4" w:rsidRDefault="00C5140A" w:rsidP="00BB2B79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Dr</w:t>
      </w:r>
      <w:r w:rsidR="00BB2B79" w:rsidRPr="006269E4">
        <w:rPr>
          <w:rFonts w:ascii="Times New Roman" w:hAnsi="Times New Roman" w:cs="Times New Roman"/>
          <w:sz w:val="22"/>
          <w:szCs w:val="22"/>
        </w:rPr>
        <w:t>. Florence Rabanal</w:t>
      </w:r>
    </w:p>
    <w:p w14:paraId="1E9C0ED0" w14:textId="77777777" w:rsidR="00BB2B79" w:rsidRPr="006269E4" w:rsidRDefault="00BB2B79" w:rsidP="00BB2B79">
      <w:pPr>
        <w:tabs>
          <w:tab w:val="left" w:pos="1440"/>
          <w:tab w:val="right" w:leader="dot" w:pos="8640"/>
        </w:tabs>
        <w:rPr>
          <w:rFonts w:ascii="Times New Roman" w:hAnsi="Times New Roman" w:cs="Times New Roman"/>
          <w:color w:val="262523"/>
          <w:sz w:val="22"/>
          <w:szCs w:val="22"/>
        </w:rPr>
      </w:pPr>
      <w:r w:rsidRPr="006269E4">
        <w:rPr>
          <w:rFonts w:ascii="Times New Roman" w:hAnsi="Times New Roman" w:cs="Times New Roman"/>
          <w:color w:val="262523"/>
          <w:sz w:val="22"/>
          <w:szCs w:val="22"/>
        </w:rPr>
        <w:t>Large Facilities Advisor</w:t>
      </w:r>
    </w:p>
    <w:p w14:paraId="63F10153" w14:textId="77777777" w:rsidR="00BB2B79" w:rsidRPr="006269E4" w:rsidRDefault="00BB2B79" w:rsidP="00BB2B79">
      <w:pPr>
        <w:tabs>
          <w:tab w:val="left" w:pos="1440"/>
          <w:tab w:val="right" w:leader="dot" w:pos="8640"/>
        </w:tabs>
        <w:rPr>
          <w:rFonts w:ascii="Times New Roman" w:hAnsi="Times New Roman" w:cs="Times New Roman"/>
          <w:sz w:val="22"/>
          <w:szCs w:val="22"/>
        </w:rPr>
      </w:pPr>
      <w:r w:rsidRPr="006269E4">
        <w:rPr>
          <w:rFonts w:ascii="Times New Roman" w:hAnsi="Times New Roman" w:cs="Times New Roman"/>
          <w:sz w:val="22"/>
          <w:szCs w:val="22"/>
        </w:rPr>
        <w:t>NSF/Large Facilities Office</w:t>
      </w:r>
    </w:p>
    <w:p w14:paraId="2FCCBD19" w14:textId="668F32AF" w:rsidR="00BB2B79" w:rsidRPr="006269E4" w:rsidRDefault="00C5140A" w:rsidP="00BB2B79">
      <w:pPr>
        <w:tabs>
          <w:tab w:val="left" w:pos="1440"/>
          <w:tab w:val="right" w:leader="dot" w:pos="86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Phone: 703-</w:t>
      </w:r>
      <w:r w:rsidR="00BB2B79" w:rsidRPr="006269E4">
        <w:rPr>
          <w:rFonts w:ascii="Times New Roman" w:hAnsi="Times New Roman" w:cs="Times New Roman"/>
          <w:sz w:val="22"/>
          <w:szCs w:val="22"/>
        </w:rPr>
        <w:t>29</w:t>
      </w:r>
      <w:r w:rsidR="00A1782F">
        <w:rPr>
          <w:rFonts w:ascii="Times New Roman" w:hAnsi="Times New Roman" w:cs="Times New Roman"/>
          <w:sz w:val="22"/>
          <w:szCs w:val="22"/>
        </w:rPr>
        <w:t>2</w:t>
      </w:r>
      <w:r w:rsidR="00BB2B79" w:rsidRPr="006269E4">
        <w:rPr>
          <w:rFonts w:ascii="Times New Roman" w:hAnsi="Times New Roman" w:cs="Times New Roman"/>
          <w:sz w:val="22"/>
          <w:szCs w:val="22"/>
        </w:rPr>
        <w:t>-8808</w:t>
      </w:r>
    </w:p>
    <w:p w14:paraId="3168044C" w14:textId="0F899F6A" w:rsidR="00BB2B79" w:rsidRPr="00E96EB0" w:rsidRDefault="00BB2B79" w:rsidP="00E96EB0">
      <w:pPr>
        <w:tabs>
          <w:tab w:val="left" w:pos="1440"/>
          <w:tab w:val="right" w:leader="dot" w:pos="8640"/>
        </w:tabs>
        <w:rPr>
          <w:rFonts w:ascii="Times New Roman" w:hAnsi="Times New Roman" w:cs="Times New Roman"/>
          <w:sz w:val="22"/>
          <w:szCs w:val="22"/>
        </w:rPr>
      </w:pPr>
      <w:r w:rsidRPr="006269E4">
        <w:rPr>
          <w:rFonts w:ascii="Times New Roman" w:hAnsi="Times New Roman" w:cs="Times New Roman"/>
          <w:sz w:val="22"/>
          <w:szCs w:val="22"/>
        </w:rPr>
        <w:t>E-mail: rabanal@nsf.gov</w:t>
      </w:r>
    </w:p>
    <w:p w14:paraId="64D67D0D" w14:textId="63CEA9A6" w:rsidR="00EB5A1B" w:rsidRDefault="00EB5A1B" w:rsidP="006269E4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2"/>
          <w:szCs w:val="22"/>
        </w:rPr>
      </w:pPr>
    </w:p>
    <w:p w14:paraId="0A4F33FA" w14:textId="1B89BC2A" w:rsidR="00101176" w:rsidRDefault="00101176" w:rsidP="006269E4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2"/>
          <w:szCs w:val="22"/>
        </w:rPr>
      </w:pPr>
    </w:p>
    <w:p w14:paraId="499CCDCD" w14:textId="77777777" w:rsidR="00101176" w:rsidRDefault="00101176" w:rsidP="00BB2B79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6126FDAE" w14:textId="32AD9E40" w:rsidR="00BB2B79" w:rsidRPr="00DA2C3C" w:rsidRDefault="00BB2B79" w:rsidP="00BB2B79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sz w:val="22"/>
          <w:szCs w:val="22"/>
        </w:rPr>
      </w:pPr>
      <w:r w:rsidRPr="00DA2C3C">
        <w:rPr>
          <w:rFonts w:ascii="Times New Roman" w:hAnsi="Times New Roman" w:cs="Times New Roman"/>
          <w:i/>
          <w:sz w:val="22"/>
          <w:szCs w:val="22"/>
        </w:rPr>
        <w:t>Panel Support</w:t>
      </w:r>
      <w:r>
        <w:rPr>
          <w:rFonts w:ascii="Times New Roman" w:hAnsi="Times New Roman" w:cs="Times New Roman"/>
          <w:i/>
          <w:sz w:val="22"/>
          <w:szCs w:val="22"/>
        </w:rPr>
        <w:t xml:space="preserve"> Contact</w:t>
      </w:r>
      <w:r w:rsidRPr="00DA2C3C">
        <w:rPr>
          <w:rFonts w:ascii="Times New Roman" w:hAnsi="Times New Roman" w:cs="Times New Roman"/>
          <w:i/>
          <w:sz w:val="22"/>
          <w:szCs w:val="22"/>
        </w:rPr>
        <w:t>:</w:t>
      </w:r>
    </w:p>
    <w:p w14:paraId="0F74F590" w14:textId="77777777" w:rsidR="006269E4" w:rsidRPr="00DA2C3C" w:rsidRDefault="006269E4" w:rsidP="006269E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Ms. </w:t>
      </w:r>
      <w:r w:rsidRPr="00DA2C3C">
        <w:rPr>
          <w:rFonts w:ascii="Times New Roman" w:hAnsi="Times New Roman" w:cs="Times New Roman"/>
          <w:sz w:val="22"/>
          <w:szCs w:val="22"/>
        </w:rPr>
        <w:t>Desiree Marshall</w:t>
      </w:r>
    </w:p>
    <w:p w14:paraId="14FD51C8" w14:textId="77777777" w:rsidR="006269E4" w:rsidRPr="00DA2C3C" w:rsidRDefault="006269E4" w:rsidP="006269E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DA2C3C">
        <w:rPr>
          <w:rFonts w:ascii="Times New Roman" w:hAnsi="Times New Roman" w:cs="Times New Roman"/>
          <w:sz w:val="22"/>
          <w:szCs w:val="22"/>
        </w:rPr>
        <w:t>Program Specialist</w:t>
      </w:r>
    </w:p>
    <w:p w14:paraId="55372F89" w14:textId="77777777" w:rsidR="006269E4" w:rsidRPr="00DA2C3C" w:rsidRDefault="006269E4" w:rsidP="006269E4">
      <w:pPr>
        <w:tabs>
          <w:tab w:val="left" w:pos="1440"/>
          <w:tab w:val="right" w:leader="dot" w:pos="86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NSF/</w:t>
      </w:r>
      <w:r w:rsidRPr="00DA2C3C">
        <w:rPr>
          <w:rFonts w:ascii="Times New Roman" w:hAnsi="Times New Roman" w:cs="Times New Roman"/>
          <w:sz w:val="22"/>
          <w:szCs w:val="22"/>
        </w:rPr>
        <w:t>Office of Polar Programs</w:t>
      </w:r>
    </w:p>
    <w:p w14:paraId="4127785B" w14:textId="1C354CED" w:rsidR="006269E4" w:rsidRPr="00DA2C3C" w:rsidRDefault="006269E4" w:rsidP="006269E4">
      <w:pPr>
        <w:tabs>
          <w:tab w:val="left" w:pos="1440"/>
          <w:tab w:val="right" w:leader="dot" w:pos="8640"/>
        </w:tabs>
        <w:rPr>
          <w:rFonts w:ascii="Times New Roman" w:hAnsi="Times New Roman" w:cs="Times New Roman"/>
          <w:sz w:val="22"/>
          <w:szCs w:val="22"/>
        </w:rPr>
      </w:pPr>
      <w:r w:rsidRPr="00DA2C3C">
        <w:rPr>
          <w:rFonts w:ascii="Times New Roman" w:hAnsi="Times New Roman" w:cs="Times New Roman"/>
          <w:sz w:val="22"/>
          <w:szCs w:val="22"/>
        </w:rPr>
        <w:t>Ph</w:t>
      </w:r>
      <w:r>
        <w:rPr>
          <w:rFonts w:ascii="Times New Roman" w:hAnsi="Times New Roman" w:cs="Times New Roman"/>
          <w:sz w:val="22"/>
          <w:szCs w:val="22"/>
        </w:rPr>
        <w:t>one:</w:t>
      </w:r>
      <w:r w:rsidR="00C5140A">
        <w:rPr>
          <w:rFonts w:ascii="Times New Roman" w:hAnsi="Times New Roman" w:cs="Times New Roman"/>
          <w:sz w:val="22"/>
          <w:szCs w:val="22"/>
        </w:rPr>
        <w:t xml:space="preserve"> 703-</w:t>
      </w:r>
      <w:r w:rsidRPr="00DA2C3C">
        <w:rPr>
          <w:rFonts w:ascii="Times New Roman" w:hAnsi="Times New Roman" w:cs="Times New Roman"/>
          <w:sz w:val="22"/>
          <w:szCs w:val="22"/>
        </w:rPr>
        <w:t>29</w:t>
      </w:r>
      <w:r w:rsidR="00C5140A">
        <w:rPr>
          <w:rFonts w:ascii="Times New Roman" w:hAnsi="Times New Roman" w:cs="Times New Roman"/>
          <w:sz w:val="22"/>
          <w:szCs w:val="22"/>
        </w:rPr>
        <w:t>2</w:t>
      </w:r>
      <w:r w:rsidRPr="00DA2C3C">
        <w:rPr>
          <w:rFonts w:ascii="Times New Roman" w:hAnsi="Times New Roman" w:cs="Times New Roman"/>
          <w:sz w:val="22"/>
          <w:szCs w:val="22"/>
        </w:rPr>
        <w:t>-7433</w:t>
      </w:r>
    </w:p>
    <w:p w14:paraId="23D20FDA" w14:textId="1B82B70E" w:rsidR="006269E4" w:rsidRDefault="006269E4" w:rsidP="00101176">
      <w:pPr>
        <w:tabs>
          <w:tab w:val="left" w:pos="1440"/>
          <w:tab w:val="right" w:leader="dot" w:pos="8640"/>
        </w:tabs>
        <w:rPr>
          <w:rFonts w:ascii="Times New Roman" w:hAnsi="Times New Roman" w:cs="Times New Roman"/>
          <w:sz w:val="22"/>
          <w:szCs w:val="22"/>
        </w:rPr>
        <w:sectPr w:rsidR="006269E4" w:rsidSect="00EB5A1B">
          <w:type w:val="continuous"/>
          <w:pgSz w:w="12240" w:h="16340"/>
          <w:pgMar w:top="1870" w:right="901" w:bottom="764" w:left="1228" w:header="720" w:footer="720" w:gutter="0"/>
          <w:cols w:num="3" w:space="720"/>
          <w:noEndnote/>
        </w:sectPr>
      </w:pPr>
      <w:r w:rsidRPr="00DA2C3C">
        <w:rPr>
          <w:rFonts w:ascii="Times New Roman" w:hAnsi="Times New Roman" w:cs="Times New Roman"/>
          <w:sz w:val="22"/>
          <w:szCs w:val="22"/>
        </w:rPr>
        <w:t>E-mail: demarsha@nsf.go</w:t>
      </w:r>
    </w:p>
    <w:p w14:paraId="02B0F3BA" w14:textId="77777777" w:rsidR="00971CEE" w:rsidRPr="00971CEE" w:rsidRDefault="00971CEE" w:rsidP="00101176">
      <w:pPr>
        <w:rPr>
          <w:rFonts w:ascii="Times New Roman" w:hAnsi="Times New Roman" w:cs="Times New Roman"/>
        </w:rPr>
      </w:pPr>
    </w:p>
    <w:sectPr w:rsidR="00971CEE" w:rsidRPr="00971CEE" w:rsidSect="00494088">
      <w:pgSz w:w="12240" w:h="16340"/>
      <w:pgMar w:top="1870" w:right="901" w:bottom="764" w:left="122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DF3C2" w14:textId="77777777" w:rsidR="00C87992" w:rsidRDefault="00C87992" w:rsidP="00E8145B">
      <w:r>
        <w:separator/>
      </w:r>
    </w:p>
  </w:endnote>
  <w:endnote w:type="continuationSeparator" w:id="0">
    <w:p w14:paraId="02B4292A" w14:textId="77777777" w:rsidR="00C87992" w:rsidRDefault="00C87992" w:rsidP="00E8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9445B" w14:textId="77777777" w:rsidR="005D74B9" w:rsidRDefault="005D74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859841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A6B378B" w14:textId="22F2D043" w:rsidR="00A01AEF" w:rsidRPr="00A01AEF" w:rsidRDefault="00A01AEF">
        <w:pPr>
          <w:pStyle w:val="Footer"/>
          <w:jc w:val="center"/>
          <w:rPr>
            <w:sz w:val="20"/>
            <w:szCs w:val="20"/>
          </w:rPr>
        </w:pPr>
        <w:r w:rsidRPr="00A01AEF">
          <w:rPr>
            <w:sz w:val="20"/>
            <w:szCs w:val="20"/>
          </w:rPr>
          <w:fldChar w:fldCharType="begin"/>
        </w:r>
        <w:r w:rsidRPr="00A01AEF">
          <w:rPr>
            <w:sz w:val="20"/>
            <w:szCs w:val="20"/>
          </w:rPr>
          <w:instrText xml:space="preserve"> PAGE   \* MERGEFORMAT </w:instrText>
        </w:r>
        <w:r w:rsidRPr="00A01AEF">
          <w:rPr>
            <w:sz w:val="20"/>
            <w:szCs w:val="20"/>
          </w:rPr>
          <w:fldChar w:fldCharType="separate"/>
        </w:r>
        <w:r w:rsidR="0099515D">
          <w:rPr>
            <w:noProof/>
            <w:sz w:val="20"/>
            <w:szCs w:val="20"/>
          </w:rPr>
          <w:t>2</w:t>
        </w:r>
        <w:r w:rsidRPr="00A01AEF">
          <w:rPr>
            <w:noProof/>
            <w:sz w:val="20"/>
            <w:szCs w:val="20"/>
          </w:rPr>
          <w:fldChar w:fldCharType="end"/>
        </w:r>
      </w:p>
    </w:sdtContent>
  </w:sdt>
  <w:p w14:paraId="434222A6" w14:textId="77777777" w:rsidR="00E8145B" w:rsidRDefault="00E814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8DC0E" w14:textId="77777777" w:rsidR="005D74B9" w:rsidRDefault="005D7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16B45" w14:textId="77777777" w:rsidR="00C87992" w:rsidRDefault="00C87992" w:rsidP="00E8145B">
      <w:r>
        <w:separator/>
      </w:r>
    </w:p>
  </w:footnote>
  <w:footnote w:type="continuationSeparator" w:id="0">
    <w:p w14:paraId="1F999F33" w14:textId="77777777" w:rsidR="00C87992" w:rsidRDefault="00C87992" w:rsidP="00E81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BF098" w14:textId="77777777" w:rsidR="005D74B9" w:rsidRDefault="005D74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00251" w14:textId="78A5DB26" w:rsidR="005D74B9" w:rsidRDefault="005D74B9">
    <w:pPr>
      <w:pStyle w:val="Header"/>
    </w:pPr>
    <w:r>
      <w:t>DRAFT</w:t>
    </w:r>
  </w:p>
  <w:p w14:paraId="0DD5480E" w14:textId="77777777" w:rsidR="005D74B9" w:rsidRDefault="005D74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A050D" w14:textId="77777777" w:rsidR="005D74B9" w:rsidRDefault="005D74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3A52"/>
    <w:multiLevelType w:val="hybridMultilevel"/>
    <w:tmpl w:val="51104252"/>
    <w:lvl w:ilvl="0" w:tplc="61B62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225DAF"/>
    <w:multiLevelType w:val="hybridMultilevel"/>
    <w:tmpl w:val="A1DCE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842"/>
    <w:multiLevelType w:val="multilevel"/>
    <w:tmpl w:val="A218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6D191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61410C3"/>
    <w:multiLevelType w:val="hybridMultilevel"/>
    <w:tmpl w:val="99B08650"/>
    <w:lvl w:ilvl="0" w:tplc="B420D8C2">
      <w:start w:val="1"/>
      <w:numFmt w:val="lowerLetter"/>
      <w:lvlText w:val="%1."/>
      <w:lvlJc w:val="left"/>
      <w:pPr>
        <w:ind w:left="720" w:hanging="360"/>
      </w:pPr>
      <w:rPr>
        <w:rFonts w:hint="default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03816"/>
    <w:multiLevelType w:val="hybridMultilevel"/>
    <w:tmpl w:val="D528ED10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35A8EF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aps/>
      </w:rPr>
    </w:lvl>
    <w:lvl w:ilvl="2" w:tplc="61B6226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420D8C2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cap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151DA2"/>
    <w:multiLevelType w:val="hybridMultilevel"/>
    <w:tmpl w:val="20F26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C5CF7"/>
    <w:multiLevelType w:val="hybridMultilevel"/>
    <w:tmpl w:val="6C8CB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14351"/>
    <w:multiLevelType w:val="hybridMultilevel"/>
    <w:tmpl w:val="5E102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8569E"/>
    <w:multiLevelType w:val="multilevel"/>
    <w:tmpl w:val="6C403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BE0FE0"/>
    <w:multiLevelType w:val="multilevel"/>
    <w:tmpl w:val="5618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3A021D"/>
    <w:multiLevelType w:val="multilevel"/>
    <w:tmpl w:val="1194BD7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81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ED115D"/>
    <w:multiLevelType w:val="hybridMultilevel"/>
    <w:tmpl w:val="C2C81C2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7168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A2C16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0237C55"/>
    <w:multiLevelType w:val="multilevel"/>
    <w:tmpl w:val="175C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BE6560"/>
    <w:multiLevelType w:val="multilevel"/>
    <w:tmpl w:val="BCF82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591596"/>
    <w:multiLevelType w:val="hybridMultilevel"/>
    <w:tmpl w:val="3ACE5A04"/>
    <w:lvl w:ilvl="0" w:tplc="A60ED58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A31A8"/>
    <w:multiLevelType w:val="multilevel"/>
    <w:tmpl w:val="527A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9"/>
  </w:num>
  <w:num w:numId="5">
    <w:abstractNumId w:val="15"/>
  </w:num>
  <w:num w:numId="6">
    <w:abstractNumId w:val="2"/>
  </w:num>
  <w:num w:numId="7">
    <w:abstractNumId w:val="16"/>
  </w:num>
  <w:num w:numId="8">
    <w:abstractNumId w:val="10"/>
  </w:num>
  <w:num w:numId="9">
    <w:abstractNumId w:val="18"/>
  </w:num>
  <w:num w:numId="10">
    <w:abstractNumId w:val="7"/>
  </w:num>
  <w:num w:numId="11">
    <w:abstractNumId w:val="5"/>
  </w:num>
  <w:num w:numId="12">
    <w:abstractNumId w:val="0"/>
  </w:num>
  <w:num w:numId="13">
    <w:abstractNumId w:val="8"/>
  </w:num>
  <w:num w:numId="14">
    <w:abstractNumId w:val="11"/>
  </w:num>
  <w:num w:numId="15">
    <w:abstractNumId w:val="3"/>
  </w:num>
  <w:num w:numId="16">
    <w:abstractNumId w:val="13"/>
  </w:num>
  <w:num w:numId="17">
    <w:abstractNumId w:val="14"/>
  </w:num>
  <w:num w:numId="18">
    <w:abstractNumId w:val="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65"/>
    <w:rsid w:val="00005F5D"/>
    <w:rsid w:val="00011D02"/>
    <w:rsid w:val="00026ED1"/>
    <w:rsid w:val="00050EF8"/>
    <w:rsid w:val="000B1D7E"/>
    <w:rsid w:val="000B3481"/>
    <w:rsid w:val="000C0E55"/>
    <w:rsid w:val="000F2286"/>
    <w:rsid w:val="000F49A6"/>
    <w:rsid w:val="00101176"/>
    <w:rsid w:val="00164B2F"/>
    <w:rsid w:val="00195BBD"/>
    <w:rsid w:val="00210832"/>
    <w:rsid w:val="00214E28"/>
    <w:rsid w:val="00235CB9"/>
    <w:rsid w:val="00236E4F"/>
    <w:rsid w:val="002477D8"/>
    <w:rsid w:val="002544C6"/>
    <w:rsid w:val="0025693F"/>
    <w:rsid w:val="002816C4"/>
    <w:rsid w:val="00302C9B"/>
    <w:rsid w:val="00344581"/>
    <w:rsid w:val="003479A7"/>
    <w:rsid w:val="00391C4C"/>
    <w:rsid w:val="003D4C5D"/>
    <w:rsid w:val="004129E4"/>
    <w:rsid w:val="00420E13"/>
    <w:rsid w:val="00490A1D"/>
    <w:rsid w:val="00493D17"/>
    <w:rsid w:val="00494088"/>
    <w:rsid w:val="004B1D7F"/>
    <w:rsid w:val="004E30FF"/>
    <w:rsid w:val="00500BE1"/>
    <w:rsid w:val="00592A25"/>
    <w:rsid w:val="005C6DC3"/>
    <w:rsid w:val="005D74B9"/>
    <w:rsid w:val="005F7457"/>
    <w:rsid w:val="006269E4"/>
    <w:rsid w:val="006A31E9"/>
    <w:rsid w:val="006C6DD5"/>
    <w:rsid w:val="006F47C1"/>
    <w:rsid w:val="00710FE3"/>
    <w:rsid w:val="00712D6F"/>
    <w:rsid w:val="007332BA"/>
    <w:rsid w:val="00741656"/>
    <w:rsid w:val="0075662F"/>
    <w:rsid w:val="0078263C"/>
    <w:rsid w:val="007C301D"/>
    <w:rsid w:val="007D1EBF"/>
    <w:rsid w:val="007D5B25"/>
    <w:rsid w:val="007E7C53"/>
    <w:rsid w:val="008429AE"/>
    <w:rsid w:val="00857CDD"/>
    <w:rsid w:val="0089026E"/>
    <w:rsid w:val="00893C05"/>
    <w:rsid w:val="008A7383"/>
    <w:rsid w:val="008F3DF1"/>
    <w:rsid w:val="00900A73"/>
    <w:rsid w:val="00971CEE"/>
    <w:rsid w:val="0098077E"/>
    <w:rsid w:val="00981B9E"/>
    <w:rsid w:val="009907A3"/>
    <w:rsid w:val="0099515D"/>
    <w:rsid w:val="009A5EF6"/>
    <w:rsid w:val="009B751B"/>
    <w:rsid w:val="009D52BE"/>
    <w:rsid w:val="009F0BF0"/>
    <w:rsid w:val="009F188D"/>
    <w:rsid w:val="009F63CB"/>
    <w:rsid w:val="00A01AEF"/>
    <w:rsid w:val="00A136A8"/>
    <w:rsid w:val="00A1782F"/>
    <w:rsid w:val="00A23566"/>
    <w:rsid w:val="00A25498"/>
    <w:rsid w:val="00A44C15"/>
    <w:rsid w:val="00A630C3"/>
    <w:rsid w:val="00AA16D8"/>
    <w:rsid w:val="00AC3C44"/>
    <w:rsid w:val="00B0487E"/>
    <w:rsid w:val="00B73840"/>
    <w:rsid w:val="00B8646D"/>
    <w:rsid w:val="00B90FDD"/>
    <w:rsid w:val="00BB2B79"/>
    <w:rsid w:val="00BF5B3B"/>
    <w:rsid w:val="00C5140A"/>
    <w:rsid w:val="00C52485"/>
    <w:rsid w:val="00C52492"/>
    <w:rsid w:val="00C7647B"/>
    <w:rsid w:val="00C87992"/>
    <w:rsid w:val="00CB1D4F"/>
    <w:rsid w:val="00CB3C5D"/>
    <w:rsid w:val="00CE204A"/>
    <w:rsid w:val="00D019A5"/>
    <w:rsid w:val="00D5160D"/>
    <w:rsid w:val="00D97420"/>
    <w:rsid w:val="00DA2C3C"/>
    <w:rsid w:val="00DC1751"/>
    <w:rsid w:val="00DD00E1"/>
    <w:rsid w:val="00DD2708"/>
    <w:rsid w:val="00DD41A2"/>
    <w:rsid w:val="00DF6975"/>
    <w:rsid w:val="00E27384"/>
    <w:rsid w:val="00E333E7"/>
    <w:rsid w:val="00E5141E"/>
    <w:rsid w:val="00E56AB0"/>
    <w:rsid w:val="00E66A20"/>
    <w:rsid w:val="00E8145B"/>
    <w:rsid w:val="00E91D9B"/>
    <w:rsid w:val="00E96EB0"/>
    <w:rsid w:val="00EB5A1B"/>
    <w:rsid w:val="00ED1CB3"/>
    <w:rsid w:val="00ED24E4"/>
    <w:rsid w:val="00EE0A8B"/>
    <w:rsid w:val="00EF7365"/>
    <w:rsid w:val="00F0115A"/>
    <w:rsid w:val="00F17B92"/>
    <w:rsid w:val="00F23E41"/>
    <w:rsid w:val="00F414E2"/>
    <w:rsid w:val="00F56AD2"/>
    <w:rsid w:val="00F8741F"/>
    <w:rsid w:val="00FD45E8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A681B8"/>
  <w15:docId w15:val="{8AADC681-9579-4876-9448-9C6D1A31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736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9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9E4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E56AB0"/>
  </w:style>
  <w:style w:type="paragraph" w:styleId="Header">
    <w:name w:val="header"/>
    <w:basedOn w:val="Normal"/>
    <w:link w:val="HeaderChar"/>
    <w:uiPriority w:val="99"/>
    <w:unhideWhenUsed/>
    <w:rsid w:val="00E814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45B"/>
  </w:style>
  <w:style w:type="paragraph" w:styleId="Footer">
    <w:name w:val="footer"/>
    <w:basedOn w:val="Normal"/>
    <w:link w:val="FooterChar"/>
    <w:unhideWhenUsed/>
    <w:rsid w:val="00E814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45B"/>
  </w:style>
  <w:style w:type="paragraph" w:styleId="ListParagraph">
    <w:name w:val="List Paragraph"/>
    <w:basedOn w:val="Normal"/>
    <w:uiPriority w:val="34"/>
    <w:qFormat/>
    <w:rsid w:val="009D52BE"/>
    <w:pPr>
      <w:ind w:left="720"/>
      <w:contextualSpacing/>
    </w:pPr>
  </w:style>
  <w:style w:type="character" w:styleId="PageNumber">
    <w:name w:val="page number"/>
    <w:basedOn w:val="DefaultParagraphFont"/>
    <w:rsid w:val="00DA2C3C"/>
  </w:style>
  <w:style w:type="paragraph" w:customStyle="1" w:styleId="HTMLBody">
    <w:name w:val="HTML Body"/>
    <w:rsid w:val="00DA2C3C"/>
    <w:pPr>
      <w:snapToGrid w:val="0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175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1751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75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5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NSF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Behnke</dc:creator>
  <cp:lastModifiedBy>Kael Hanson</cp:lastModifiedBy>
  <cp:revision>2</cp:revision>
  <dcterms:created xsi:type="dcterms:W3CDTF">2019-02-27T14:51:00Z</dcterms:created>
  <dcterms:modified xsi:type="dcterms:W3CDTF">2019-02-27T14:51:00Z</dcterms:modified>
</cp:coreProperties>
</file>